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390"/>
      <w:bookmarkStart w:id="1" w:name="_Toc288738823"/>
    </w:p>
    <w:p>
      <w:pPr>
        <w:jc w:val="center"/>
        <w:rPr>
          <w:rFonts w:hint="eastAsia" w:ascii="宋体" w:hAnsi="宋体" w:cs="宋体"/>
          <w:b/>
          <w:kern w:val="0"/>
          <w:sz w:val="44"/>
          <w:szCs w:val="44"/>
        </w:rPr>
      </w:pPr>
      <w:r>
        <w:rPr>
          <w:rFonts w:hint="eastAsia" w:ascii="宋体" w:hAnsi="宋体" w:cs="宋体"/>
          <w:b/>
          <w:kern w:val="0"/>
          <w:sz w:val="44"/>
          <w:szCs w:val="44"/>
        </w:rPr>
        <w:t>江苏理工学</w:t>
      </w:r>
      <w:r>
        <w:rPr>
          <w:rFonts w:hint="eastAsia" w:ascii="宋体" w:hAnsi="宋体" w:eastAsia="宋体" w:cs="宋体"/>
          <w:b/>
          <w:kern w:val="0"/>
          <w:sz w:val="44"/>
          <w:szCs w:val="44"/>
        </w:rPr>
        <w:t>院维修改造工程</w:t>
      </w:r>
      <w:r>
        <w:rPr>
          <w:rFonts w:hint="eastAsia" w:ascii="宋体" w:hAnsi="宋体" w:cs="宋体"/>
          <w:b/>
          <w:kern w:val="0"/>
          <w:sz w:val="44"/>
          <w:szCs w:val="44"/>
          <w:lang w:eastAsia="zh-CN"/>
        </w:rPr>
        <w:t>造价咨询服务项目采购</w:t>
      </w:r>
      <w:r>
        <w:rPr>
          <w:rFonts w:hint="eastAsia" w:ascii="宋体" w:hAnsi="宋体" w:cs="宋体"/>
          <w:b/>
          <w:kern w:val="0"/>
          <w:sz w:val="44"/>
          <w:szCs w:val="44"/>
          <w:lang w:val="en-US" w:eastAsia="zh-CN"/>
        </w:rPr>
        <w:t>招标</w:t>
      </w:r>
      <w:r>
        <w:rPr>
          <w:rFonts w:hint="eastAsia" w:ascii="宋体" w:hAnsi="宋体" w:cs="宋体"/>
          <w:b/>
          <w:kern w:val="0"/>
          <w:sz w:val="44"/>
          <w:szCs w:val="44"/>
        </w:rPr>
        <w:t xml:space="preserve">文件 </w:t>
      </w:r>
    </w:p>
    <w:p>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 xml:space="preserve"> </w:t>
      </w:r>
    </w:p>
    <w:p>
      <w:pPr>
        <w:adjustRightInd w:val="0"/>
        <w:snapToGrid w:val="0"/>
        <w:spacing w:line="360" w:lineRule="auto"/>
        <w:jc w:val="center"/>
        <w:rPr>
          <w:rFonts w:ascii="宋体" w:hAnsi="宋体"/>
          <w:b/>
          <w:sz w:val="28"/>
          <w:szCs w:val="32"/>
        </w:rPr>
      </w:pPr>
    </w:p>
    <w:p>
      <w:pPr>
        <w:pStyle w:val="112"/>
        <w:spacing w:line="360" w:lineRule="auto"/>
        <w:ind w:left="0" w:leftChars="0" w:firstLine="0" w:firstLineChars="0"/>
        <w:jc w:val="center"/>
        <w:rPr>
          <w:rFonts w:hint="eastAsia" w:ascii="宋体" w:hAnsi="宋体" w:cs="宋体"/>
          <w:b/>
          <w:kern w:val="0"/>
          <w:sz w:val="44"/>
          <w:szCs w:val="44"/>
          <w:lang w:val="en-US" w:eastAsia="zh-CN"/>
        </w:rPr>
      </w:pPr>
      <w:r>
        <w:rPr>
          <w:rFonts w:hint="eastAsia" w:ascii="宋体" w:hAnsi="宋体" w:cs="宋体"/>
          <w:b/>
          <w:kern w:val="0"/>
          <w:sz w:val="44"/>
          <w:szCs w:val="44"/>
        </w:rPr>
        <w:t>项目编号：</w:t>
      </w:r>
      <w:r>
        <w:rPr>
          <w:rFonts w:hint="eastAsia" w:ascii="宋体" w:hAnsi="宋体" w:cs="宋体"/>
          <w:b/>
          <w:kern w:val="0"/>
          <w:sz w:val="44"/>
          <w:szCs w:val="44"/>
          <w:lang w:val="en-US" w:eastAsia="zh-CN"/>
        </w:rPr>
        <w:t>XEYSSQ20250914</w:t>
      </w:r>
    </w:p>
    <w:p>
      <w:pPr>
        <w:pStyle w:val="112"/>
        <w:spacing w:line="360" w:lineRule="auto"/>
        <w:ind w:firstLine="883"/>
        <w:jc w:val="center"/>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hint="eastAsia"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hint="eastAsia" w:ascii="宋体" w:hAnsi="宋体" w:cs="Arial"/>
          <w:b/>
          <w:sz w:val="48"/>
          <w:szCs w:val="48"/>
        </w:rPr>
      </w:pPr>
      <w:r>
        <w:rPr>
          <w:rFonts w:hint="eastAsia" w:ascii="宋体" w:hAnsi="宋体"/>
          <w:b/>
          <w:sz w:val="28"/>
          <w:szCs w:val="32"/>
        </w:rPr>
        <w:t xml:space="preserve"> </w:t>
      </w:r>
      <w:r>
        <w:rPr>
          <w:rFonts w:hint="eastAsia" w:ascii="宋体" w:hAnsi="宋体"/>
          <w:b/>
          <w:sz w:val="28"/>
          <w:szCs w:val="32"/>
          <w:lang w:val="en-US" w:eastAsia="zh-CN"/>
        </w:rPr>
        <w:t>2025</w:t>
      </w:r>
      <w:r>
        <w:rPr>
          <w:rFonts w:ascii="宋体" w:hAnsi="宋体"/>
          <w:b/>
          <w:sz w:val="28"/>
          <w:szCs w:val="32"/>
        </w:rPr>
        <w:t>年</w:t>
      </w:r>
      <w:r>
        <w:rPr>
          <w:rFonts w:hint="eastAsia" w:ascii="宋体" w:hAnsi="宋体"/>
          <w:b/>
          <w:sz w:val="28"/>
          <w:szCs w:val="32"/>
          <w:lang w:val="en-US" w:eastAsia="zh-CN"/>
        </w:rPr>
        <w:t>10</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2" w:name="_Toc35393629"/>
      <w:bookmarkStart w:id="3" w:name="_Toc28359089"/>
      <w:bookmarkStart w:id="4" w:name="_Toc35393798"/>
      <w:bookmarkStart w:id="5" w:name="_Toc28359012"/>
      <w:bookmarkStart w:id="6" w:name="_Toc288738808"/>
      <w:bookmarkStart w:id="7" w:name="_Toc288738340"/>
      <w:bookmarkStart w:id="8"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highlight w:val="none"/>
        </w:rPr>
        <w:t>XEYSSQ20250914</w:t>
      </w:r>
    </w:p>
    <w:p>
      <w:pPr>
        <w:ind w:firstLine="480" w:firstLineChars="200"/>
        <w:jc w:val="left"/>
        <w:rPr>
          <w:rFonts w:hint="eastAsia" w:ascii="宋体" w:hAnsi="宋体" w:eastAsia="宋体" w:cs="宋体"/>
          <w:color w:val="000000"/>
          <w:sz w:val="24"/>
        </w:rPr>
      </w:pPr>
      <w:r>
        <w:rPr>
          <w:rFonts w:hint="eastAsia" w:ascii="宋体" w:hAnsi="宋体" w:cs="宋体"/>
          <w:color w:val="000000"/>
          <w:sz w:val="24"/>
        </w:rPr>
        <w:t>项目名称：</w:t>
      </w:r>
      <w:r>
        <w:rPr>
          <w:rFonts w:hint="eastAsia" w:ascii="宋体" w:hAnsi="宋体" w:eastAsia="宋体" w:cs="宋体"/>
          <w:color w:val="000000"/>
          <w:sz w:val="24"/>
        </w:rPr>
        <w:t>江苏理工学院维修改造工程</w:t>
      </w:r>
      <w:r>
        <w:rPr>
          <w:rFonts w:hint="eastAsia" w:ascii="宋体" w:hAnsi="宋体" w:eastAsia="宋体" w:cs="宋体"/>
          <w:color w:val="000000"/>
          <w:sz w:val="24"/>
          <w:lang w:eastAsia="zh-CN"/>
        </w:rPr>
        <w:t>造价咨询服务</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预算金额：</w:t>
      </w:r>
      <w:r>
        <w:rPr>
          <w:rFonts w:hint="eastAsia" w:ascii="宋体" w:hAnsi="宋体" w:cs="宋体"/>
          <w:color w:val="000000"/>
          <w:sz w:val="24"/>
          <w:lang w:val="en-US" w:eastAsia="zh-CN"/>
        </w:rPr>
        <w:t>6</w:t>
      </w:r>
      <w:r>
        <w:rPr>
          <w:rFonts w:hint="eastAsia" w:ascii="宋体" w:hAnsi="宋体" w:cs="宋体"/>
          <w:color w:val="000000"/>
          <w:sz w:val="24"/>
        </w:rPr>
        <w:t>万</w:t>
      </w:r>
      <w:r>
        <w:rPr>
          <w:rFonts w:hint="eastAsia" w:ascii="宋体" w:hAnsi="宋体" w:cs="宋体"/>
          <w:color w:val="000000"/>
          <w:sz w:val="24"/>
          <w:lang w:val="en-US" w:eastAsia="zh-CN"/>
        </w:rPr>
        <w:t>/年</w:t>
      </w:r>
      <w:r>
        <w:rPr>
          <w:rFonts w:hint="eastAsia" w:ascii="宋体" w:hAnsi="宋体" w:eastAsia="宋体" w:cs="宋体"/>
          <w:color w:val="000000"/>
          <w:sz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15" w:lineRule="atLeast"/>
        <w:ind w:left="0" w:right="0" w:firstLine="480"/>
        <w:jc w:val="left"/>
        <w:rPr>
          <w:rFonts w:hint="eastAsia" w:ascii="宋体" w:hAnsi="宋体" w:cs="宋体"/>
          <w:color w:val="000000"/>
          <w:sz w:val="24"/>
        </w:rPr>
      </w:pPr>
      <w:r>
        <w:rPr>
          <w:rFonts w:hint="eastAsia" w:ascii="宋体" w:hAnsi="宋体" w:cs="宋体"/>
          <w:color w:val="000000"/>
          <w:sz w:val="24"/>
        </w:rPr>
        <w:t>最高限额：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15" w:lineRule="atLeast"/>
        <w:ind w:left="0" w:right="0" w:firstLine="480"/>
        <w:jc w:val="left"/>
        <w:rPr>
          <w:rFonts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1．单项送审金额≤50万元的，结算费用实行基本收费+效益收费，每份基本收费最高限价为500元，费率最高限价为5%（其计算基数为审减金额）；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1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2．单项送审金额＞50万元的不付基本费，效益收费按固定费率计取，费率最高限价为5%（其计算基数为审减金额）。</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rPr>
        <w:t>服务期限：</w:t>
      </w:r>
      <w:r>
        <w:rPr>
          <w:rFonts w:hint="eastAsia" w:ascii="宋体" w:hAnsi="宋体" w:eastAsia="宋体" w:cs="宋体"/>
          <w:color w:val="000000"/>
          <w:sz w:val="24"/>
        </w:rPr>
        <w:t>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年11月1日-202</w:t>
      </w:r>
      <w:r>
        <w:rPr>
          <w:rFonts w:hint="eastAsia" w:ascii="宋体" w:hAnsi="宋体" w:eastAsia="宋体" w:cs="宋体"/>
          <w:color w:val="000000"/>
          <w:sz w:val="24"/>
          <w:lang w:val="en-US" w:eastAsia="zh-CN"/>
        </w:rPr>
        <w:t>8</w:t>
      </w:r>
      <w:r>
        <w:rPr>
          <w:rFonts w:hint="eastAsia" w:ascii="宋体" w:hAnsi="宋体" w:eastAsia="宋体" w:cs="宋体"/>
          <w:color w:val="000000"/>
          <w:sz w:val="24"/>
        </w:rPr>
        <w:t>年10月31日</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二、申请人的资格要求：</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1.满足《中华人民共和国政府采购法》第二十二条规定。</w:t>
      </w:r>
    </w:p>
    <w:p>
      <w:pPr>
        <w:tabs>
          <w:tab w:val="left" w:pos="9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hint="eastAsia" w:ascii="宋体" w:hAnsi="宋体" w:eastAsia="宋体" w:cs="宋体"/>
          <w:color w:val="000000"/>
          <w:sz w:val="24"/>
        </w:rPr>
      </w:pPr>
      <w:r>
        <w:rPr>
          <w:rFonts w:hint="eastAsia" w:ascii="宋体" w:hAnsi="宋体" w:cs="宋体"/>
          <w:color w:val="000000"/>
          <w:sz w:val="24"/>
        </w:rPr>
        <w:t>3.单位负责人为同一人或者存在直接控股、管理关系的不同</w:t>
      </w:r>
      <w:r>
        <w:rPr>
          <w:rFonts w:hint="eastAsia" w:ascii="宋体" w:hAnsi="宋体" w:cs="宋体"/>
          <w:color w:val="000000"/>
          <w:sz w:val="24"/>
          <w:lang w:val="en-US" w:eastAsia="zh-CN"/>
        </w:rPr>
        <w:t>投标</w:t>
      </w:r>
      <w:r>
        <w:rPr>
          <w:rFonts w:hint="eastAsia" w:ascii="宋体" w:hAnsi="宋体" w:cs="宋体"/>
          <w:color w:val="000000"/>
          <w:sz w:val="24"/>
        </w:rPr>
        <w:t>人，不得参加同一合同项下的采购活动；与采购人存在利害关系可能影响采购公正性的法人</w:t>
      </w:r>
      <w:r>
        <w:rPr>
          <w:rFonts w:hint="eastAsia" w:ascii="宋体" w:hAnsi="宋体" w:eastAsia="宋体" w:cs="宋体"/>
          <w:color w:val="000000"/>
          <w:sz w:val="24"/>
        </w:rPr>
        <w:t>、其他组织，不得参加</w:t>
      </w:r>
      <w:r>
        <w:rPr>
          <w:rFonts w:hint="eastAsia" w:ascii="宋体" w:hAnsi="宋体" w:eastAsia="宋体" w:cs="宋体"/>
          <w:color w:val="000000"/>
          <w:sz w:val="24"/>
          <w:lang w:val="en-US" w:eastAsia="zh-CN"/>
        </w:rPr>
        <w:t>投标</w:t>
      </w:r>
      <w:r>
        <w:rPr>
          <w:rFonts w:hint="eastAsia" w:ascii="宋体" w:hAnsi="宋体" w:eastAsia="宋体" w:cs="宋体"/>
          <w:color w:val="000000"/>
          <w:sz w:val="24"/>
        </w:rPr>
        <w:t>。</w:t>
      </w:r>
    </w:p>
    <w:p>
      <w:pPr>
        <w:tabs>
          <w:tab w:val="left" w:pos="900"/>
        </w:tabs>
        <w:spacing w:line="360" w:lineRule="auto"/>
        <w:ind w:firstLine="480" w:firstLineChars="200"/>
        <w:rPr>
          <w:rFonts w:hint="eastAsia" w:ascii="宋体" w:hAnsi="宋体" w:eastAsia="宋体" w:cs="宋体"/>
          <w:b/>
          <w:bCs/>
          <w:color w:val="000000"/>
          <w:kern w:val="2"/>
          <w:sz w:val="24"/>
          <w:szCs w:val="24"/>
        </w:rPr>
      </w:pPr>
      <w:r>
        <w:rPr>
          <w:rFonts w:hint="eastAsia" w:ascii="宋体" w:hAnsi="宋体" w:eastAsia="宋体" w:cs="宋体"/>
          <w:color w:val="000000"/>
          <w:sz w:val="24"/>
        </w:rPr>
        <w:t>4.本项目的特定资格要求：</w:t>
      </w:r>
      <w:r>
        <w:rPr>
          <w:rFonts w:hint="eastAsia" w:ascii="宋体" w:hAnsi="宋体" w:eastAsia="宋体" w:cs="宋体"/>
          <w:color w:val="000000"/>
          <w:sz w:val="24"/>
          <w:lang w:eastAsia="zh-CN"/>
        </w:rPr>
        <w:t>无</w:t>
      </w:r>
    </w:p>
    <w:p>
      <w:pPr>
        <w:pStyle w:val="4"/>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三、</w:t>
      </w:r>
      <w:r>
        <w:rPr>
          <w:rFonts w:hint="eastAsia" w:ascii="宋体" w:hAnsi="宋体" w:eastAsia="宋体" w:cs="宋体"/>
          <w:b/>
          <w:bCs/>
          <w:color w:val="000000"/>
          <w:kern w:val="2"/>
          <w:sz w:val="24"/>
          <w:szCs w:val="24"/>
          <w:lang w:val="en-US" w:eastAsia="zh-CN"/>
        </w:rPr>
        <w:t>投标</w:t>
      </w:r>
      <w:r>
        <w:rPr>
          <w:rFonts w:hint="eastAsia" w:ascii="宋体" w:hAnsi="宋体" w:eastAsia="宋体" w:cs="宋体"/>
          <w:b/>
          <w:bCs/>
          <w:color w:val="000000"/>
          <w:kern w:val="2"/>
          <w:sz w:val="24"/>
          <w:szCs w:val="24"/>
        </w:rPr>
        <w:t>文件递交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hint="eastAsia" w:ascii="宋体" w:hAnsi="宋体" w:eastAsia="宋体" w:cs="宋体"/>
          <w:color w:val="000000"/>
          <w:sz w:val="24"/>
        </w:rPr>
      </w:pPr>
      <w:r>
        <w:rPr>
          <w:rFonts w:hint="eastAsia" w:ascii="宋体" w:hAnsi="宋体" w:cs="宋体"/>
          <w:color w:val="000000"/>
          <w:sz w:val="24"/>
        </w:rPr>
        <w:t>截止时间</w:t>
      </w:r>
      <w:r>
        <w:rPr>
          <w:rFonts w:hint="eastAsia" w:ascii="宋体" w:hAnsi="宋体" w:cs="宋体"/>
          <w:color w:val="000000"/>
          <w:sz w:val="24"/>
          <w:lang w:eastAsia="zh-CN"/>
        </w:rPr>
        <w:t>：</w:t>
      </w:r>
      <w:r>
        <w:rPr>
          <w:rFonts w:hint="eastAsia" w:ascii="宋体" w:hAnsi="宋体" w:eastAsia="宋体" w:cs="宋体"/>
          <w:color w:val="000000"/>
          <w:sz w:val="24"/>
        </w:rPr>
        <w:t>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年10月</w:t>
      </w:r>
      <w:r>
        <w:rPr>
          <w:rFonts w:hint="eastAsia" w:ascii="宋体" w:hAnsi="宋体" w:cs="宋体"/>
          <w:color w:val="000000"/>
          <w:sz w:val="24"/>
          <w:lang w:val="en-US" w:eastAsia="zh-CN"/>
        </w:rPr>
        <w:t>17</w:t>
      </w:r>
      <w:r>
        <w:rPr>
          <w:rFonts w:hint="eastAsia" w:ascii="宋体" w:hAnsi="宋体" w:eastAsia="宋体" w:cs="宋体"/>
          <w:color w:val="000000"/>
          <w:sz w:val="24"/>
        </w:rPr>
        <w:t>日14：30</w:t>
      </w:r>
      <w:r>
        <w:rPr>
          <w:rFonts w:hint="eastAsia" w:ascii="宋体" w:hAnsi="宋体" w:eastAsia="宋体" w:cs="宋体"/>
          <w:color w:val="000000"/>
          <w:sz w:val="24"/>
          <w:lang w:val="en-US" w:eastAsia="zh-CN"/>
        </w:rPr>
        <w:t>（北京时间）</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地    点：</w:t>
      </w:r>
      <w:r>
        <w:rPr>
          <w:rFonts w:hint="eastAsia" w:ascii="宋体" w:hAnsi="宋体" w:cs="宋体"/>
          <w:color w:val="000000"/>
          <w:sz w:val="24"/>
          <w:lang w:val="en-US" w:eastAsia="zh-CN"/>
        </w:rPr>
        <w:t>江苏理工学院28-129</w:t>
      </w:r>
    </w:p>
    <w:p>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eastAsia="zh-CN"/>
        </w:rPr>
        <w:t>石老师</w:t>
      </w:r>
      <w:r>
        <w:rPr>
          <w:rFonts w:hint="eastAsia" w:ascii="宋体" w:hAnsi="宋体" w:cs="宋体"/>
          <w:color w:val="000000"/>
          <w:sz w:val="24"/>
          <w:lang w:val="en-US" w:eastAsia="zh-CN"/>
        </w:rPr>
        <w:t xml:space="preserve">  </w:t>
      </w:r>
      <w:r>
        <w:rPr>
          <w:rFonts w:ascii="宋体" w:hAnsi="宋体" w:cs="宋体"/>
          <w:color w:val="000000"/>
          <w:sz w:val="24"/>
        </w:rPr>
        <w:t xml:space="preserve"> 0519-8695</w:t>
      </w:r>
      <w:r>
        <w:rPr>
          <w:rFonts w:hint="eastAsia" w:ascii="宋体" w:hAnsi="宋体" w:cs="宋体"/>
          <w:color w:val="000000"/>
          <w:sz w:val="24"/>
          <w:lang w:val="en-US" w:eastAsia="zh-CN"/>
        </w:rPr>
        <w:t>3055</w:t>
      </w:r>
    </w:p>
    <w:p>
      <w:pPr>
        <w:tabs>
          <w:tab w:val="left" w:pos="90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开标时间：</w:t>
      </w:r>
      <w:r>
        <w:rPr>
          <w:rFonts w:hint="eastAsia" w:ascii="宋体" w:hAnsi="宋体" w:cs="宋体"/>
          <w:color w:val="auto"/>
          <w:sz w:val="24"/>
          <w:highlight w:val="none"/>
          <w:lang w:val="en-US" w:eastAsia="zh-CN"/>
        </w:rPr>
        <w:t>2025</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lang w:val="en-US" w:eastAsia="zh-CN"/>
        </w:rPr>
        <w:t>日</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val="en-US" w:eastAsia="zh-CN"/>
        </w:rPr>
        <w:t>分</w:t>
      </w:r>
      <w:r>
        <w:rPr>
          <w:rFonts w:hint="eastAsia" w:ascii="宋体" w:hAnsi="宋体" w:eastAsia="宋体" w:cs="宋体"/>
          <w:color w:val="000000"/>
          <w:sz w:val="24"/>
          <w:lang w:val="en-US" w:eastAsia="zh-CN"/>
        </w:rPr>
        <w:t>（北京时间）</w:t>
      </w:r>
    </w:p>
    <w:bookmarkEnd w:id="2"/>
    <w:bookmarkEnd w:id="3"/>
    <w:bookmarkEnd w:id="4"/>
    <w:bookmarkEnd w:id="5"/>
    <w:p>
      <w:pPr>
        <w:pStyle w:val="4"/>
        <w:spacing w:line="360" w:lineRule="auto"/>
        <w:rPr>
          <w:rFonts w:ascii="宋体" w:hAnsi="宋体" w:eastAsia="宋体" w:cs="宋体"/>
          <w:b/>
          <w:bCs/>
          <w:color w:val="000000"/>
          <w:kern w:val="2"/>
          <w:sz w:val="24"/>
          <w:szCs w:val="24"/>
        </w:rPr>
      </w:pPr>
      <w:bookmarkStart w:id="9" w:name="_Toc35393804"/>
      <w:bookmarkStart w:id="10" w:name="_Toc35393635"/>
      <w:r>
        <w:rPr>
          <w:rFonts w:hint="eastAsia" w:ascii="宋体" w:hAnsi="宋体" w:eastAsia="宋体" w:cs="宋体"/>
          <w:b/>
          <w:bCs/>
          <w:color w:val="000000"/>
          <w:kern w:val="2"/>
          <w:sz w:val="24"/>
          <w:szCs w:val="24"/>
        </w:rPr>
        <w:t>四、</w:t>
      </w:r>
      <w:bookmarkEnd w:id="9"/>
      <w:bookmarkEnd w:id="10"/>
      <w:r>
        <w:rPr>
          <w:rFonts w:hint="eastAsia" w:ascii="宋体" w:hAnsi="宋体" w:eastAsia="宋体" w:cs="宋体"/>
          <w:b/>
          <w:bCs/>
          <w:color w:val="000000"/>
          <w:kern w:val="2"/>
          <w:sz w:val="24"/>
          <w:szCs w:val="24"/>
          <w:lang w:val="en-US" w:eastAsia="zh-CN"/>
        </w:rPr>
        <w:t>投标</w:t>
      </w:r>
      <w:r>
        <w:rPr>
          <w:rFonts w:hint="eastAsia" w:ascii="宋体" w:hAnsi="宋体" w:eastAsia="宋体" w:cs="宋体"/>
          <w:b/>
          <w:bCs/>
          <w:color w:val="000000"/>
          <w:kern w:val="2"/>
          <w:sz w:val="24"/>
          <w:szCs w:val="24"/>
        </w:rPr>
        <w:t>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sz w:val="24"/>
        </w:rPr>
      </w:pPr>
      <w:r>
        <w:rPr>
          <w:rFonts w:ascii="宋体" w:hAnsi="宋体" w:cs="宋体"/>
          <w:b/>
          <w:bCs/>
          <w:sz w:val="24"/>
        </w:rPr>
        <w:t>5</w:t>
      </w:r>
      <w:r>
        <w:rPr>
          <w:rFonts w:hint="eastAsia" w:ascii="宋体" w:hAnsi="宋体" w:cs="宋体"/>
          <w:b/>
          <w:bCs/>
          <w:sz w:val="24"/>
        </w:rPr>
        <w:t>.</w:t>
      </w:r>
      <w:r>
        <w:rPr>
          <w:rFonts w:hint="eastAsia" w:ascii="宋体" w:hAnsi="宋体" w:cs="宋体"/>
          <w:b/>
          <w:bCs/>
          <w:sz w:val="24"/>
          <w:lang w:val="en-US" w:eastAsia="zh-CN"/>
        </w:rPr>
        <w:t xml:space="preserve"> </w:t>
      </w:r>
      <w:r>
        <w:rPr>
          <w:rFonts w:hint="eastAsia" w:ascii="宋体" w:hAnsi="宋体" w:cs="宋体"/>
          <w:b/>
          <w:bCs/>
          <w:sz w:val="24"/>
        </w:rPr>
        <w:t>报价表。（附件二）</w:t>
      </w:r>
    </w:p>
    <w:p>
      <w:pPr>
        <w:tabs>
          <w:tab w:val="left" w:pos="900"/>
        </w:tabs>
        <w:spacing w:line="360" w:lineRule="auto"/>
        <w:ind w:firstLine="723" w:firstLineChars="300"/>
        <w:rPr>
          <w:rFonts w:hint="eastAsia" w:ascii="宋体" w:hAnsi="宋体" w:eastAsia="宋体" w:cs="宋体"/>
          <w:b/>
          <w:bCs/>
          <w:sz w:val="24"/>
          <w:lang w:val="en-US" w:eastAsia="zh-CN"/>
        </w:rPr>
      </w:pPr>
      <w:r>
        <w:rPr>
          <w:rFonts w:hint="eastAsia" w:ascii="宋体" w:hAnsi="宋体" w:eastAsia="宋体" w:cs="宋体"/>
          <w:b/>
          <w:bCs/>
          <w:sz w:val="24"/>
          <w:lang w:val="en-US" w:eastAsia="zh-CN"/>
        </w:rPr>
        <w:t>6.</w:t>
      </w:r>
      <w:r>
        <w:rPr>
          <w:rFonts w:hint="eastAsia" w:ascii="宋体" w:hAnsi="宋体" w:cs="宋体"/>
          <w:b/>
          <w:bCs/>
          <w:sz w:val="24"/>
          <w:lang w:val="en-US" w:eastAsia="zh-CN"/>
        </w:rPr>
        <w:t xml:space="preserve"> </w:t>
      </w:r>
      <w:r>
        <w:rPr>
          <w:rFonts w:hint="eastAsia" w:ascii="宋体" w:hAnsi="宋体" w:eastAsia="宋体" w:cs="宋体"/>
          <w:b/>
          <w:bCs/>
          <w:sz w:val="24"/>
          <w:lang w:val="en-US" w:eastAsia="zh-CN"/>
        </w:rPr>
        <w:t>招标</w:t>
      </w:r>
      <w:r>
        <w:rPr>
          <w:rFonts w:hint="eastAsia" w:ascii="宋体" w:hAnsi="宋体" w:eastAsia="宋体" w:cs="宋体"/>
          <w:b/>
          <w:bCs/>
          <w:sz w:val="24"/>
        </w:rPr>
        <w:t>文件中要求的其他材料</w:t>
      </w:r>
      <w:r>
        <w:rPr>
          <w:rFonts w:hint="eastAsia" w:ascii="宋体" w:hAnsi="宋体" w:eastAsia="宋体" w:cs="宋体"/>
          <w:b/>
          <w:bCs/>
          <w:sz w:val="24"/>
          <w:lang w:eastAsia="zh-CN"/>
        </w:rPr>
        <w:t>：</w:t>
      </w:r>
      <w:r>
        <w:rPr>
          <w:rFonts w:hint="eastAsia" w:ascii="宋体" w:hAnsi="宋体" w:cs="宋体"/>
          <w:b/>
          <w:bCs/>
          <w:sz w:val="24"/>
          <w:lang w:eastAsia="zh-CN"/>
        </w:rPr>
        <w:t>按评审要求提供相应材料。</w:t>
      </w:r>
    </w:p>
    <w:p>
      <w:pPr>
        <w:pStyle w:val="2"/>
        <w:ind w:firstLine="480" w:firstLineChars="200"/>
        <w:rPr>
          <w:rFonts w:hint="eastAsia"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w:t>
      </w:r>
      <w:r>
        <w:rPr>
          <w:rFonts w:hint="eastAsia" w:ascii="宋体" w:hAnsi="宋体" w:cs="宋体"/>
          <w:color w:val="000000"/>
          <w:sz w:val="24"/>
          <w:lang w:val="en-US" w:eastAsia="zh-CN"/>
        </w:rPr>
        <w:t>投标</w:t>
      </w:r>
      <w:r>
        <w:rPr>
          <w:rFonts w:hint="eastAsia" w:ascii="宋体" w:hAnsi="宋体" w:cs="宋体"/>
          <w:color w:val="000000"/>
          <w:sz w:val="24"/>
        </w:rPr>
        <w:t>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投标文件递交时必须密封并在封口处加盖骑缝章，否则视为无效响应。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w:t>
      </w:r>
      <w:r>
        <w:rPr>
          <w:rFonts w:hint="eastAsia" w:ascii="宋体" w:hAnsi="宋体" w:eastAsia="宋体" w:cs="宋体"/>
          <w:color w:val="000000"/>
          <w:sz w:val="24"/>
        </w:rPr>
        <w:t>均应在202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年10月</w:t>
      </w:r>
      <w:r>
        <w:rPr>
          <w:rFonts w:hint="eastAsia" w:ascii="宋体" w:hAnsi="宋体" w:cs="宋体"/>
          <w:color w:val="000000"/>
          <w:sz w:val="24"/>
          <w:lang w:val="en-US" w:eastAsia="zh-CN"/>
        </w:rPr>
        <w:t>14</w:t>
      </w:r>
      <w:r>
        <w:rPr>
          <w:rFonts w:hint="eastAsia" w:ascii="宋体" w:hAnsi="宋体" w:eastAsia="宋体" w:cs="宋体"/>
          <w:color w:val="000000"/>
          <w:sz w:val="24"/>
        </w:rPr>
        <w:t>日1</w:t>
      </w: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val="en-US" w:eastAsia="zh-CN"/>
        </w:rPr>
        <w:t>0</w:t>
      </w:r>
      <w:r>
        <w:rPr>
          <w:rFonts w:hint="eastAsia" w:ascii="宋体" w:hAnsi="宋体" w:eastAsia="宋体" w:cs="宋体"/>
          <w:color w:val="000000"/>
          <w:sz w:val="24"/>
        </w:rPr>
        <w:t>0点前（周末及节假日除外）</w:t>
      </w:r>
      <w:r>
        <w:rPr>
          <w:rFonts w:hint="eastAsia" w:ascii="宋体" w:hAnsi="宋体" w:cs="宋体"/>
          <w:color w:val="000000" w:themeColor="text1"/>
          <w:sz w:val="24"/>
          <w14:textFill>
            <w14:solidFill>
              <w14:schemeClr w14:val="tx1"/>
            </w14:solidFill>
          </w14:textFill>
        </w:rPr>
        <w:t>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eastAsia" w:ascii="宋体" w:hAnsi="宋体" w:eastAsia="宋体" w:cs="宋体"/>
          <w:b/>
          <w:bCs/>
          <w:color w:val="000000"/>
          <w:kern w:val="2"/>
          <w:sz w:val="24"/>
          <w:szCs w:val="24"/>
          <w:lang w:val="en-US" w:eastAsia="zh-CN" w:bidi="ar-SA"/>
        </w:rPr>
        <w:t>采购人信息</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石</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3055</w:t>
      </w: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pPr>
        <w:tabs>
          <w:tab w:val="left" w:pos="900"/>
        </w:tabs>
        <w:spacing w:line="360" w:lineRule="auto"/>
        <w:ind w:firstLine="482" w:firstLineChars="200"/>
        <w:rPr>
          <w:rFonts w:ascii="宋体" w:hAnsi="宋体" w:cs="宋体"/>
          <w:b/>
          <w:bCs/>
          <w:color w:val="000000"/>
          <w:sz w:val="24"/>
        </w:rPr>
      </w:pPr>
      <w:bookmarkStart w:id="11" w:name="_Toc288738341"/>
      <w:bookmarkStart w:id="12" w:name="_Toc288738809"/>
      <w:bookmarkStart w:id="13" w:name="_Toc288738415"/>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11"/>
      <w:bookmarkEnd w:id="12"/>
      <w:bookmarkEnd w:id="13"/>
    </w:p>
    <w:p>
      <w:pPr>
        <w:tabs>
          <w:tab w:val="left" w:pos="900"/>
        </w:tabs>
        <w:spacing w:line="360" w:lineRule="auto"/>
        <w:ind w:firstLine="482" w:firstLineChars="200"/>
        <w:rPr>
          <w:rFonts w:ascii="宋体" w:hAnsi="宋体" w:cs="宋体"/>
          <w:b/>
          <w:bCs/>
          <w:color w:val="000000"/>
          <w:sz w:val="24"/>
        </w:rPr>
      </w:pPr>
      <w:bookmarkStart w:id="14" w:name="_Toc288738810"/>
      <w:bookmarkStart w:id="15" w:name="_Toc288738416"/>
      <w:bookmarkStart w:id="16" w:name="_Toc288738342"/>
      <w:r>
        <w:rPr>
          <w:rFonts w:hint="eastAsia" w:ascii="宋体" w:hAnsi="宋体" w:cs="宋体"/>
          <w:b/>
          <w:bCs/>
          <w:color w:val="000000"/>
          <w:sz w:val="24"/>
        </w:rPr>
        <w:t>二、采购报价方式</w:t>
      </w:r>
      <w:bookmarkEnd w:id="14"/>
      <w:bookmarkEnd w:id="15"/>
      <w:bookmarkEnd w:id="16"/>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2"/>
        <w:rPr>
          <w:rFonts w:hAnsi="宋体"/>
        </w:rPr>
      </w:pPr>
    </w:p>
    <w:p>
      <w:pPr>
        <w:pStyle w:val="2"/>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numPr>
          <w:ilvl w:val="0"/>
          <w:numId w:val="1"/>
        </w:numPr>
        <w:spacing w:line="360" w:lineRule="auto"/>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bCs w:val="0"/>
          <w:sz w:val="24"/>
          <w:lang w:val="en-US" w:eastAsia="zh-CN"/>
        </w:rPr>
        <w:t>采购内容</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江苏理工学院2025-2028年度</w:t>
      </w:r>
      <w:r>
        <w:rPr>
          <w:rFonts w:hint="eastAsia" w:ascii="宋体" w:hAnsi="宋体" w:eastAsia="宋体" w:cs="宋体"/>
          <w:kern w:val="2"/>
          <w:sz w:val="24"/>
          <w:szCs w:val="24"/>
          <w:lang w:val="en-US" w:eastAsia="zh-CN" w:bidi="ar-SA"/>
        </w:rPr>
        <w:t>维修改造项目的竣工结算审计服务</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包括学校房屋建筑物的装饰、加固、改建、改造、维修等工程，校内场地、道路、围墙和管道等室外维修工程，绿化工程以及实验室改造维修等工程，不包括新建基建工程。</w:t>
      </w:r>
    </w:p>
    <w:p>
      <w:pPr>
        <w:numPr>
          <w:ilvl w:val="0"/>
          <w:numId w:val="1"/>
        </w:numPr>
        <w:spacing w:line="440" w:lineRule="exact"/>
        <w:ind w:left="0" w:leftChars="0" w:firstLine="482" w:firstLineChars="200"/>
        <w:rPr>
          <w:rFonts w:hint="eastAsia" w:ascii="等线" w:hAnsi="等线" w:cs="等线"/>
          <w:b/>
          <w:bCs/>
          <w:sz w:val="24"/>
        </w:rPr>
      </w:pPr>
      <w:r>
        <w:rPr>
          <w:rFonts w:hint="eastAsia" w:ascii="宋体" w:hAnsi="宋体" w:eastAsia="宋体" w:cs="宋体"/>
          <w:b/>
          <w:bCs/>
          <w:color w:val="000000"/>
          <w:sz w:val="24"/>
        </w:rPr>
        <w:t>供应商资格要求</w:t>
      </w:r>
      <w:r>
        <w:rPr>
          <w:rFonts w:hint="eastAsia" w:ascii="等线" w:hAnsi="等线" w:cs="等线"/>
          <w:b/>
          <w:bCs/>
          <w:sz w:val="24"/>
        </w:rPr>
        <w:t>：</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1.供应商须符合《</w:t>
      </w:r>
      <w:r>
        <w:rPr>
          <w:rFonts w:hint="eastAsia" w:ascii="宋体" w:hAnsi="宋体" w:cs="宋体"/>
          <w:kern w:val="2"/>
          <w:sz w:val="24"/>
          <w:szCs w:val="24"/>
          <w:lang w:val="en-US" w:eastAsia="zh-CN" w:bidi="ar-SA"/>
        </w:rPr>
        <w:t>中华人民共和国</w:t>
      </w:r>
      <w:bookmarkStart w:id="21" w:name="_GoBack"/>
      <w:bookmarkEnd w:id="21"/>
      <w:r>
        <w:rPr>
          <w:rFonts w:hint="eastAsia" w:ascii="宋体" w:hAnsi="宋体" w:eastAsia="宋体" w:cs="宋体"/>
          <w:kern w:val="2"/>
          <w:sz w:val="24"/>
          <w:szCs w:val="24"/>
          <w:lang w:val="en-US" w:eastAsia="zh-CN" w:bidi="ar-SA"/>
        </w:rPr>
        <w:t>政府采购法》第二十二条规定；</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具有独立承担民事责任的能力；</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具有良好的商业信誉和健全的财务会计制度；</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具有履行合同所必需的设备和专业技术能力；</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 具有依法缴纳税收和社会保障资金的良好记录；</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 参加政府采购活动前三年内，在经营活动中没有重大违法记录；</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 法律、行政法规规定的其他条件。</w:t>
      </w:r>
    </w:p>
    <w:p>
      <w:pPr>
        <w:spacing w:line="500" w:lineRule="exact"/>
        <w:ind w:firstLine="482" w:firstLineChars="200"/>
        <w:jc w:val="left"/>
        <w:rPr>
          <w:rFonts w:hint="eastAsia" w:ascii="宋体" w:hAnsi="宋体" w:eastAsia="宋体" w:cs="宋体"/>
          <w:b/>
          <w:bCs/>
          <w:color w:val="000000"/>
          <w:sz w:val="24"/>
        </w:rPr>
      </w:pPr>
      <w:bookmarkStart w:id="17" w:name="_Toc89264908"/>
      <w:r>
        <w:rPr>
          <w:rFonts w:hint="eastAsia" w:ascii="宋体" w:hAnsi="宋体" w:eastAsia="宋体" w:cs="宋体"/>
          <w:b/>
          <w:bCs/>
          <w:color w:val="000000"/>
          <w:sz w:val="24"/>
          <w:lang w:eastAsia="zh-CN"/>
        </w:rPr>
        <w:t>三、</w:t>
      </w:r>
      <w:r>
        <w:rPr>
          <w:rFonts w:hint="eastAsia" w:ascii="宋体" w:hAnsi="宋体" w:cs="宋体"/>
          <w:b/>
          <w:bCs/>
          <w:color w:val="000000"/>
          <w:sz w:val="24"/>
          <w:lang w:eastAsia="zh-CN"/>
        </w:rPr>
        <w:t>审计</w:t>
      </w:r>
      <w:r>
        <w:rPr>
          <w:rFonts w:hint="eastAsia" w:ascii="宋体" w:hAnsi="宋体" w:eastAsia="宋体" w:cs="宋体"/>
          <w:b/>
          <w:bCs/>
          <w:color w:val="000000"/>
          <w:sz w:val="24"/>
        </w:rPr>
        <w:t>服务要求</w:t>
      </w:r>
      <w:bookmarkEnd w:id="17"/>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.供应商的结算审计服务应严格按照国家、行业、地方有关技术标准、规范、政策执行。并按照《江苏省工程造价咨询业务指导规程》《江苏省建设工程造价咨询合同》等开展业务；</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.分析制定审查实施方案，明确审查目标，确定审查重点；</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.按照相关规定提交符合格式要求的工程项目竣工结算审核结果报告，整理档案资料，提供相关管理建议；</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.供应商按照相关要求在接收单项送审资料二个月内完成该项目审核工作并形成审核结果及相关管理建议；</w:t>
      </w:r>
    </w:p>
    <w:p>
      <w:pPr>
        <w:tabs>
          <w:tab w:val="left" w:pos="900"/>
        </w:tabs>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.提供其他造价管理方面的顾问咨询。</w:t>
      </w:r>
    </w:p>
    <w:p>
      <w:pPr>
        <w:pStyle w:val="2"/>
        <w:spacing w:before="124" w:beforeLines="40" w:after="124" w:afterLines="40" w:line="360" w:lineRule="auto"/>
        <w:ind w:firstLine="482" w:firstLineChars="200"/>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四、服务期限</w:t>
      </w:r>
    </w:p>
    <w:p>
      <w:pPr>
        <w:numPr>
          <w:ilvl w:val="0"/>
          <w:numId w:val="0"/>
        </w:numPr>
        <w:spacing w:before="156" w:beforeLines="50" w:after="156" w:afterLines="50"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三年（2025年11月1日至2028年10月31日），合同一年一签。</w:t>
      </w:r>
    </w:p>
    <w:p>
      <w:pPr>
        <w:pStyle w:val="2"/>
        <w:spacing w:before="124" w:beforeLines="40" w:after="124" w:afterLines="40" w:line="360" w:lineRule="auto"/>
        <w:ind w:firstLine="482" w:firstLineChars="200"/>
        <w:rPr>
          <w:rFonts w:hint="eastAsia" w:ascii="宋体" w:hAnsi="宋体" w:eastAsia="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五、</w:t>
      </w:r>
      <w:r>
        <w:rPr>
          <w:rFonts w:hint="eastAsia" w:ascii="宋体" w:hAnsi="宋体" w:eastAsia="宋体" w:cs="宋体"/>
          <w:b/>
          <w:bCs/>
          <w:color w:val="000000"/>
          <w:kern w:val="2"/>
          <w:sz w:val="24"/>
          <w:szCs w:val="24"/>
          <w:lang w:val="en-US" w:eastAsia="zh-CN" w:bidi="ar-SA"/>
        </w:rPr>
        <w:t>承包方式</w:t>
      </w:r>
    </w:p>
    <w:p>
      <w:pPr>
        <w:numPr>
          <w:ilvl w:val="0"/>
          <w:numId w:val="0"/>
        </w:numPr>
        <w:spacing w:before="156" w:beforeLines="50" w:after="156" w:afterLines="50" w:line="500" w:lineRule="exact"/>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固定综合单价和固定费率</w:t>
      </w:r>
      <w:r>
        <w:rPr>
          <w:rFonts w:hint="eastAsia" w:ascii="宋体" w:hAnsi="宋体" w:cs="宋体"/>
          <w:color w:val="auto"/>
          <w:kern w:val="2"/>
          <w:sz w:val="24"/>
          <w:szCs w:val="24"/>
          <w:lang w:val="en-US" w:eastAsia="zh-CN" w:bidi="ar-SA"/>
        </w:rPr>
        <w:t>。</w:t>
      </w:r>
    </w:p>
    <w:p>
      <w:pPr>
        <w:numPr>
          <w:ilvl w:val="0"/>
          <w:numId w:val="0"/>
        </w:numPr>
        <w:spacing w:before="156" w:beforeLines="50" w:after="156" w:afterLines="50" w:line="500" w:lineRule="exact"/>
        <w:ind w:leftChars="0" w:firstLine="482" w:firstLineChars="200"/>
        <w:jc w:val="left"/>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、付款方式</w:t>
      </w:r>
    </w:p>
    <w:p>
      <w:pPr>
        <w:numPr>
          <w:ilvl w:val="0"/>
          <w:numId w:val="0"/>
        </w:numPr>
        <w:spacing w:before="156" w:beforeLines="50" w:after="156" w:afterLines="50" w:line="500" w:lineRule="exact"/>
        <w:ind w:leftChars="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根据已完成的审计咨询成果报告支付相应审计费用。按采购人规定供应商开具符合要求的增值税专用发票。</w:t>
      </w:r>
    </w:p>
    <w:p>
      <w:pPr>
        <w:spacing w:line="500" w:lineRule="exact"/>
        <w:ind w:firstLine="482" w:firstLineChars="200"/>
        <w:jc w:val="left"/>
        <w:rPr>
          <w:rFonts w:hint="eastAsia" w:ascii="宋体" w:hAnsi="宋体" w:cs="宋体"/>
          <w:b/>
          <w:bCs/>
          <w:sz w:val="24"/>
        </w:rPr>
      </w:pPr>
      <w:r>
        <w:rPr>
          <w:rFonts w:hint="eastAsia" w:ascii="宋体" w:hAnsi="宋体" w:cs="宋体"/>
          <w:b/>
          <w:bCs/>
          <w:color w:val="auto"/>
          <w:sz w:val="24"/>
          <w:lang w:eastAsia="zh-CN"/>
        </w:rPr>
        <w:t>七</w:t>
      </w:r>
      <w:r>
        <w:rPr>
          <w:rFonts w:hint="eastAsia" w:ascii="宋体" w:hAnsi="宋体" w:cs="宋体"/>
          <w:b/>
          <w:bCs/>
          <w:color w:val="auto"/>
          <w:sz w:val="24"/>
        </w:rPr>
        <w:t>、项目预算价</w:t>
      </w:r>
    </w:p>
    <w:p>
      <w:pPr>
        <w:spacing w:line="500" w:lineRule="exact"/>
        <w:ind w:firstLine="480" w:firstLineChars="200"/>
        <w:jc w:val="left"/>
        <w:rPr>
          <w:rFonts w:hint="eastAsia" w:ascii="宋体" w:hAnsi="宋体" w:cs="宋体"/>
          <w:sz w:val="24"/>
        </w:rPr>
      </w:pPr>
      <w:r>
        <w:rPr>
          <w:rFonts w:hint="eastAsia" w:ascii="宋体" w:hAnsi="宋体" w:cs="宋体"/>
          <w:bCs/>
          <w:sz w:val="24"/>
        </w:rPr>
        <w:t>本项目预算金额：人民币</w:t>
      </w:r>
      <w:r>
        <w:rPr>
          <w:rFonts w:hint="eastAsia" w:ascii="宋体" w:hAnsi="宋体" w:cs="宋体"/>
          <w:bCs/>
          <w:sz w:val="24"/>
          <w:lang w:eastAsia="zh-CN"/>
        </w:rPr>
        <w:t>六</w:t>
      </w:r>
      <w:r>
        <w:rPr>
          <w:rFonts w:hint="eastAsia" w:ascii="宋体" w:hAnsi="宋体" w:cs="宋体"/>
          <w:bCs/>
          <w:sz w:val="24"/>
        </w:rPr>
        <w:t>万元</w:t>
      </w:r>
      <w:r>
        <w:rPr>
          <w:rFonts w:hint="eastAsia" w:ascii="宋体" w:hAnsi="宋体" w:cs="宋体"/>
          <w:bCs/>
          <w:sz w:val="24"/>
          <w:lang w:val="en-US" w:eastAsia="zh-CN"/>
        </w:rPr>
        <w:t>/年</w:t>
      </w:r>
      <w:r>
        <w:rPr>
          <w:rFonts w:hint="eastAsia" w:ascii="宋体" w:hAnsi="宋体" w:cs="宋体"/>
          <w:bCs/>
          <w:sz w:val="24"/>
        </w:rPr>
        <w:t>，报价超过采购预算，将作为无效响应。</w:t>
      </w:r>
    </w:p>
    <w:p>
      <w:pPr>
        <w:spacing w:before="156" w:beforeLines="50" w:after="156" w:afterLines="50" w:line="500" w:lineRule="exact"/>
        <w:ind w:firstLine="482" w:firstLineChars="200"/>
        <w:jc w:val="left"/>
        <w:rPr>
          <w:rFonts w:hint="eastAsia" w:ascii="宋体" w:hAnsi="宋体" w:eastAsia="宋体" w:cs="宋体"/>
          <w:b/>
          <w:bCs/>
          <w:color w:val="000000"/>
          <w:kern w:val="2"/>
          <w:sz w:val="24"/>
          <w:szCs w:val="24"/>
          <w:lang w:val="en-US" w:eastAsia="zh-CN" w:bidi="ar-SA"/>
        </w:rPr>
      </w:pPr>
      <w:bookmarkStart w:id="18" w:name="_Toc89264909"/>
      <w:r>
        <w:rPr>
          <w:rFonts w:hint="eastAsia" w:ascii="宋体" w:hAnsi="宋体" w:cs="宋体"/>
          <w:b/>
          <w:bCs/>
          <w:color w:val="000000"/>
          <w:kern w:val="2"/>
          <w:sz w:val="24"/>
          <w:szCs w:val="24"/>
          <w:lang w:val="en-US" w:eastAsia="zh-CN" w:bidi="ar-SA"/>
        </w:rPr>
        <w:t>八</w:t>
      </w:r>
      <w:r>
        <w:rPr>
          <w:rFonts w:hint="eastAsia" w:ascii="宋体" w:hAnsi="宋体" w:eastAsia="宋体" w:cs="宋体"/>
          <w:b/>
          <w:bCs/>
          <w:color w:val="000000"/>
          <w:kern w:val="2"/>
          <w:sz w:val="24"/>
          <w:szCs w:val="24"/>
          <w:lang w:val="en-US" w:eastAsia="zh-CN" w:bidi="ar-SA"/>
        </w:rPr>
        <w:t>、最高限价</w:t>
      </w:r>
      <w:bookmarkEnd w:id="18"/>
    </w:p>
    <w:p>
      <w:pPr>
        <w:spacing w:before="156" w:beforeLines="50" w:after="156" w:afterLines="50" w:line="500" w:lineRule="exact"/>
        <w:ind w:firstLine="480" w:firstLineChars="200"/>
        <w:jc w:val="left"/>
        <w:rPr>
          <w:rFonts w:hint="eastAsia" w:ascii="宋体" w:hAnsi="宋体" w:eastAsia="宋体" w:cs="宋体"/>
          <w:color w:val="auto"/>
          <w:kern w:val="2"/>
          <w:sz w:val="24"/>
          <w:szCs w:val="24"/>
          <w:lang w:val="en-US" w:eastAsia="zh-CN" w:bidi="ar-SA"/>
        </w:rPr>
      </w:pPr>
      <w:bookmarkStart w:id="19" w:name="_Toc89264910"/>
      <w:r>
        <w:rPr>
          <w:rFonts w:hint="eastAsia" w:ascii="宋体" w:hAnsi="宋体" w:eastAsia="宋体" w:cs="宋体"/>
          <w:color w:val="auto"/>
          <w:kern w:val="2"/>
          <w:sz w:val="24"/>
          <w:szCs w:val="24"/>
          <w:lang w:val="en-US" w:eastAsia="zh-CN" w:bidi="ar-SA"/>
        </w:rPr>
        <w:t>1、单项送审金额≤50万元的，结算费用实行基本收费+效益收费，每项基本收费最高限价为500元，费率最高限价为5%（其计算基数为审减金额）</w:t>
      </w:r>
      <w:bookmarkEnd w:id="19"/>
      <w:r>
        <w:rPr>
          <w:rFonts w:hint="eastAsia" w:ascii="宋体" w:hAnsi="宋体" w:eastAsia="宋体" w:cs="宋体"/>
          <w:color w:val="auto"/>
          <w:kern w:val="2"/>
          <w:sz w:val="24"/>
          <w:szCs w:val="24"/>
          <w:lang w:val="en-US" w:eastAsia="zh-CN" w:bidi="ar-SA"/>
        </w:rPr>
        <w:t>。</w:t>
      </w:r>
    </w:p>
    <w:p>
      <w:pPr>
        <w:spacing w:before="156" w:beforeLines="50" w:after="156" w:afterLines="50" w:line="500" w:lineRule="exact"/>
        <w:ind w:firstLine="480" w:firstLineChars="200"/>
        <w:jc w:val="left"/>
        <w:rPr>
          <w:rFonts w:hint="eastAsia" w:ascii="宋体" w:hAnsi="宋体" w:eastAsia="宋体" w:cs="宋体"/>
          <w:color w:val="auto"/>
          <w:kern w:val="2"/>
          <w:sz w:val="24"/>
          <w:szCs w:val="24"/>
          <w:lang w:val="en-US" w:eastAsia="zh-CN" w:bidi="ar-SA"/>
        </w:rPr>
      </w:pPr>
      <w:bookmarkStart w:id="20" w:name="_Toc89264911"/>
      <w:r>
        <w:rPr>
          <w:rFonts w:hint="eastAsia" w:ascii="宋体" w:hAnsi="宋体" w:eastAsia="宋体" w:cs="宋体"/>
          <w:color w:val="auto"/>
          <w:kern w:val="2"/>
          <w:sz w:val="24"/>
          <w:szCs w:val="24"/>
          <w:lang w:val="en-US" w:eastAsia="zh-CN" w:bidi="ar-SA"/>
        </w:rPr>
        <w:t>2、单项送审金额＞50万元的不付基本费，效益收费按固定费率计取，费率最高限价为5%（其计算基数为审减金额）。</w:t>
      </w:r>
      <w:bookmarkEnd w:id="20"/>
    </w:p>
    <w:p>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九、评标：</w:t>
      </w:r>
    </w:p>
    <w:p>
      <w:pPr>
        <w:spacing w:line="44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spacing w:line="500" w:lineRule="exact"/>
        <w:jc w:val="left"/>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pStyle w:val="2"/>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hint="eastAsia"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900"/>
        </w:tabs>
        <w:spacing w:line="360" w:lineRule="auto"/>
        <w:ind w:firstLine="420" w:firstLineChars="200"/>
        <w:rPr>
          <w:rFonts w:ascii="宋体" w:hAnsi="宋体" w:cs="宋体"/>
          <w:sz w:val="21"/>
          <w:szCs w:val="21"/>
          <w:u w:val="single"/>
        </w:rPr>
      </w:pPr>
      <w:r>
        <w:rPr>
          <w:rFonts w:hint="eastAsia" w:ascii="宋体" w:hAnsi="宋体" w:cs="宋体"/>
          <w:szCs w:val="21"/>
        </w:rPr>
        <w:t>项目编号：______________</w:t>
      </w:r>
      <w:r>
        <w:rPr>
          <w:rFonts w:hint="eastAsia" w:ascii="宋体" w:hAnsi="宋体" w:cs="宋体"/>
          <w:szCs w:val="21"/>
          <w:lang w:val="en-US" w:eastAsia="zh-CN"/>
        </w:rPr>
        <w:t xml:space="preserve"> </w:t>
      </w:r>
      <w:r>
        <w:rPr>
          <w:rFonts w:hint="eastAsia" w:ascii="宋体" w:hAnsi="宋体" w:cs="宋体"/>
          <w:szCs w:val="21"/>
        </w:rPr>
        <w:t>项目名称：</w:t>
      </w:r>
      <w:r>
        <w:rPr>
          <w:rFonts w:hint="eastAsia" w:ascii="宋体" w:hAnsi="宋体" w:cs="宋体"/>
          <w:szCs w:val="21"/>
          <w:u w:val="single"/>
        </w:rPr>
        <w:t>_</w:t>
      </w:r>
      <w:r>
        <w:rPr>
          <w:rFonts w:hint="eastAsia" w:ascii="宋体" w:hAnsi="宋体" w:eastAsia="宋体" w:cs="宋体"/>
          <w:color w:val="000000"/>
          <w:sz w:val="21"/>
          <w:szCs w:val="21"/>
          <w:u w:val="single"/>
        </w:rPr>
        <w:t>江苏理工学院维修改造工程项目结算审计</w:t>
      </w:r>
      <w:r>
        <w:rPr>
          <w:rFonts w:hint="eastAsia" w:ascii="宋体" w:hAnsi="宋体" w:cs="宋体"/>
          <w:color w:val="000000"/>
          <w:sz w:val="21"/>
          <w:szCs w:val="21"/>
          <w:u w:val="single"/>
          <w:lang w:eastAsia="zh-CN"/>
        </w:rPr>
        <w:t>服务</w:t>
      </w:r>
    </w:p>
    <w:tbl>
      <w:tblPr>
        <w:tblStyle w:val="51"/>
        <w:tblW w:w="4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3"/>
        <w:gridCol w:w="1089"/>
        <w:gridCol w:w="6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5" w:hRule="atLeast"/>
          <w:jc w:val="center"/>
        </w:trPr>
        <w:tc>
          <w:tcPr>
            <w:tcW w:w="410" w:type="pct"/>
            <w:noWrap w:val="0"/>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705" w:type="pct"/>
            <w:noWrap w:val="0"/>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3884" w:type="pct"/>
            <w:noWrap w:val="0"/>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0" w:type="pct"/>
            <w:vMerge w:val="restart"/>
            <w:noWrap w:val="0"/>
            <w:vAlign w:val="center"/>
          </w:tcPr>
          <w:p>
            <w:pPr>
              <w:tabs>
                <w:tab w:val="left" w:pos="5580"/>
              </w:tabs>
              <w:jc w:val="center"/>
              <w:rPr>
                <w:rFonts w:ascii="宋体" w:hAnsi="宋体" w:cs="宋体"/>
                <w:szCs w:val="21"/>
                <w:highlight w:val="yellow"/>
              </w:rPr>
            </w:pPr>
          </w:p>
        </w:tc>
        <w:tc>
          <w:tcPr>
            <w:tcW w:w="705" w:type="pct"/>
            <w:vMerge w:val="restart"/>
            <w:noWrap w:val="0"/>
            <w:vAlign w:val="center"/>
          </w:tcPr>
          <w:p>
            <w:pPr>
              <w:tabs>
                <w:tab w:val="left" w:pos="5580"/>
              </w:tabs>
              <w:jc w:val="center"/>
              <w:rPr>
                <w:rFonts w:ascii="宋体" w:hAnsi="宋体" w:cs="宋体"/>
                <w:szCs w:val="21"/>
                <w:highlight w:val="yellow"/>
              </w:rPr>
            </w:pPr>
          </w:p>
        </w:tc>
        <w:tc>
          <w:tcPr>
            <w:tcW w:w="3884" w:type="pct"/>
            <w:noWrap w:val="0"/>
            <w:vAlign w:val="center"/>
          </w:tcPr>
          <w:p>
            <w:pPr>
              <w:spacing w:line="50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基本收费：</w:t>
            </w:r>
          </w:p>
          <w:p>
            <w:pPr>
              <w:spacing w:line="50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单项送审金额≤50万元的，按每项     元收取基本费；</w:t>
            </w:r>
          </w:p>
          <w:p>
            <w:pPr>
              <w:tabs>
                <w:tab w:val="left" w:pos="5580"/>
              </w:tabs>
              <w:jc w:val="center"/>
              <w:rPr>
                <w:rFonts w:ascii="宋体" w:hAnsi="宋体" w:cs="宋体"/>
                <w:szCs w:val="21"/>
                <w:highlight w:val="yellow"/>
              </w:rPr>
            </w:pPr>
            <w:r>
              <w:rPr>
                <w:rFonts w:hint="eastAsia" w:ascii="宋体" w:hAnsi="宋体" w:eastAsia="宋体" w:cs="宋体"/>
                <w:bCs/>
                <w:sz w:val="21"/>
                <w:szCs w:val="21"/>
              </w:rPr>
              <w:t>单项送审金额＞50万元的不收取基本费；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0" w:type="pct"/>
            <w:vMerge w:val="continue"/>
            <w:noWrap w:val="0"/>
            <w:vAlign w:val="center"/>
          </w:tcPr>
          <w:p>
            <w:pPr>
              <w:tabs>
                <w:tab w:val="left" w:pos="5580"/>
              </w:tabs>
              <w:jc w:val="center"/>
              <w:rPr>
                <w:rFonts w:ascii="宋体" w:hAnsi="宋体" w:cs="宋体"/>
                <w:szCs w:val="21"/>
                <w:highlight w:val="yellow"/>
              </w:rPr>
            </w:pPr>
          </w:p>
        </w:tc>
        <w:tc>
          <w:tcPr>
            <w:tcW w:w="705" w:type="pct"/>
            <w:vMerge w:val="continue"/>
            <w:noWrap w:val="0"/>
            <w:vAlign w:val="center"/>
          </w:tcPr>
          <w:p>
            <w:pPr>
              <w:tabs>
                <w:tab w:val="left" w:pos="5580"/>
              </w:tabs>
              <w:jc w:val="center"/>
              <w:rPr>
                <w:rFonts w:ascii="宋体" w:hAnsi="宋体" w:cs="宋体"/>
                <w:szCs w:val="21"/>
                <w:highlight w:val="yellow"/>
              </w:rPr>
            </w:pPr>
          </w:p>
        </w:tc>
        <w:tc>
          <w:tcPr>
            <w:tcW w:w="3884" w:type="pct"/>
            <w:noWrap w:val="0"/>
            <w:vAlign w:val="center"/>
          </w:tcPr>
          <w:p>
            <w:pPr>
              <w:spacing w:line="50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效益收费：</w:t>
            </w:r>
          </w:p>
          <w:p>
            <w:pPr>
              <w:tabs>
                <w:tab w:val="left" w:pos="5580"/>
              </w:tabs>
              <w:jc w:val="center"/>
              <w:rPr>
                <w:rFonts w:ascii="宋体" w:hAnsi="宋体" w:cs="宋体"/>
                <w:szCs w:val="21"/>
                <w:highlight w:val="yellow"/>
              </w:rPr>
            </w:pPr>
            <w:r>
              <w:rPr>
                <w:rFonts w:hint="eastAsia" w:ascii="宋体" w:hAnsi="宋体" w:eastAsia="宋体" w:cs="宋体"/>
                <w:bCs/>
                <w:sz w:val="21"/>
                <w:szCs w:val="21"/>
              </w:rPr>
              <w:t>按审减金额的      %收取审计费用。</w:t>
            </w:r>
          </w:p>
        </w:tc>
      </w:tr>
    </w:tbl>
    <w:p>
      <w:pPr>
        <w:autoSpaceDE w:val="0"/>
        <w:autoSpaceDN w:val="0"/>
        <w:adjustRightInd w:val="0"/>
        <w:jc w:val="left"/>
        <w:rPr>
          <w:rFonts w:ascii="宋体" w:hAnsi="宋体" w:cs="宋体"/>
          <w:kern w:val="0"/>
          <w:szCs w:val="21"/>
        </w:rPr>
      </w:pPr>
    </w:p>
    <w:p>
      <w:pPr>
        <w:spacing w:line="50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注：1．项目报价应包括询价文件所确定的招标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pPr>
        <w:spacing w:line="500" w:lineRule="exact"/>
        <w:ind w:firstLine="480" w:firstLineChars="200"/>
        <w:jc w:val="left"/>
        <w:rPr>
          <w:rFonts w:hint="eastAsia" w:ascii="宋体" w:hAnsi="宋体" w:eastAsia="宋体" w:cs="宋体"/>
          <w:bCs/>
          <w:sz w:val="24"/>
        </w:rPr>
      </w:pPr>
      <w:r>
        <w:rPr>
          <w:rFonts w:hint="eastAsia" w:ascii="宋体" w:hAnsi="宋体" w:eastAsia="宋体" w:cs="宋体"/>
          <w:bCs/>
          <w:sz w:val="24"/>
        </w:rPr>
        <w:t>2.报价货币为人民币；</w:t>
      </w:r>
    </w:p>
    <w:p>
      <w:pPr>
        <w:spacing w:line="50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3.报价一览表必须加盖供应商公章，由法定代表人或授权代理人签字或盖章（复印件无效）。</w:t>
      </w:r>
    </w:p>
    <w:p>
      <w:pPr>
        <w:snapToGrid w:val="0"/>
        <w:spacing w:line="360" w:lineRule="auto"/>
        <w:rPr>
          <w:rFonts w:ascii="宋体" w:hAnsi="宋体"/>
          <w:szCs w:val="21"/>
        </w:rPr>
      </w:pPr>
    </w:p>
    <w:p>
      <w:pPr>
        <w:spacing w:line="360" w:lineRule="auto"/>
        <w:rPr>
          <w:rFonts w:ascii="宋体" w:hAnsi="宋体"/>
          <w:sz w:val="24"/>
        </w:rPr>
      </w:pPr>
    </w:p>
    <w:p>
      <w:pPr>
        <w:pStyle w:val="2"/>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tabs>
          <w:tab w:val="left" w:pos="1800"/>
          <w:tab w:val="left" w:pos="5580"/>
        </w:tabs>
        <w:jc w:val="left"/>
        <w:rPr>
          <w:rFonts w:hint="eastAsia" w:ascii="宋体" w:hAnsi="宋体" w:cs="宋体"/>
          <w:bCs/>
          <w:sz w:val="24"/>
        </w:rPr>
      </w:pPr>
    </w:p>
    <w:p>
      <w:pPr>
        <w:pStyle w:val="20"/>
        <w:rPr>
          <w:rFonts w:hint="eastAsia" w:ascii="宋体" w:hAnsi="宋体" w:cs="宋体"/>
          <w:bCs/>
          <w:sz w:val="24"/>
        </w:rPr>
      </w:pP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1"/>
        <w:tblW w:w="950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92"/>
        <w:gridCol w:w="850"/>
        <w:gridCol w:w="5342"/>
        <w:gridCol w:w="117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29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850"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342"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1179" w:type="dxa"/>
            <w:vAlign w:val="center"/>
          </w:tcPr>
          <w:p>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0" w:hRule="atLeast"/>
        </w:trPr>
        <w:tc>
          <w:tcPr>
            <w:tcW w:w="835" w:type="dxa"/>
            <w:vMerge w:val="restart"/>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1</w:t>
            </w:r>
          </w:p>
        </w:tc>
        <w:tc>
          <w:tcPr>
            <w:tcW w:w="1292" w:type="dxa"/>
            <w:vMerge w:val="restart"/>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投标报价</w:t>
            </w:r>
          </w:p>
        </w:tc>
        <w:tc>
          <w:tcPr>
            <w:tcW w:w="850" w:type="dxa"/>
            <w:vMerge w:val="restart"/>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5342" w:type="dxa"/>
            <w:vAlign w:val="center"/>
          </w:tcPr>
          <w:p>
            <w:pPr>
              <w:ind w:firstLine="28"/>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基本费报价评分（15分）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一步：基本费报价在采购预算价格以下的（本项目单项送审金额＞50万元的不付基本费，单项送审金额≤50万元的，按每项上限500元支付审计费），为有效报价。超出此范围的报价为无效报价。无效报价的响应文件不进行评审，也不成交。</w:t>
            </w:r>
          </w:p>
          <w:p>
            <w:pPr>
              <w:ind w:firstLine="28"/>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第二步：在所有有效报价中选择报价最低的确定为基准报价，其价格分为满分15分。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第三步：将所有有效报价与基准报价相比较：等于基准报价的得15分，其他供应商的价格评分按照下列公式计算：</w:t>
            </w:r>
          </w:p>
          <w:p>
            <w:pPr>
              <w:ind w:firstLine="28"/>
              <w:jc w:val="left"/>
              <w:rPr>
                <w:rFonts w:hint="default" w:ascii="仿宋_GB2312" w:hAnsi="仿宋_GB2312" w:eastAsia="仿宋_GB2312" w:cs="仿宋_GB2312"/>
                <w:color w:val="auto"/>
                <w:sz w:val="21"/>
                <w:szCs w:val="21"/>
                <w:lang w:val="en-US" w:eastAsia="zh-TW"/>
              </w:rPr>
            </w:pPr>
            <w:r>
              <w:rPr>
                <w:rFonts w:hint="eastAsia" w:ascii="仿宋_GB2312" w:hAnsi="仿宋_GB2312" w:eastAsia="仿宋_GB2312" w:cs="仿宋_GB2312"/>
                <w:color w:val="auto"/>
                <w:sz w:val="21"/>
                <w:szCs w:val="21"/>
                <w:lang w:val="en-US" w:eastAsia="zh-CN"/>
              </w:rPr>
              <w:t>基本费报价得分=（基准价/报价）×15</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10" w:hRule="atLeast"/>
        </w:trPr>
        <w:tc>
          <w:tcPr>
            <w:tcW w:w="835" w:type="dxa"/>
            <w:vMerge w:val="continue"/>
            <w:vAlign w:val="center"/>
          </w:tcPr>
          <w:p/>
        </w:tc>
        <w:tc>
          <w:tcPr>
            <w:tcW w:w="1292" w:type="dxa"/>
            <w:vMerge w:val="continue"/>
            <w:vAlign w:val="center"/>
          </w:tcPr>
          <w:p/>
        </w:tc>
        <w:tc>
          <w:tcPr>
            <w:tcW w:w="850" w:type="dxa"/>
            <w:vMerge w:val="continue"/>
            <w:vAlign w:val="center"/>
          </w:tcPr>
          <w:p/>
        </w:tc>
        <w:tc>
          <w:tcPr>
            <w:tcW w:w="5342" w:type="dxa"/>
            <w:vAlign w:val="center"/>
          </w:tcPr>
          <w:p>
            <w:pPr>
              <w:ind w:firstLine="28"/>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效益收费报价评分（15分）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一步：效益收费报价在采购预算价格以下的（本项目效益收费按固定费率计取，其计算基数为审减金额：最高限价为：费率上限5%），为有效报价。超出此范围的报价为无效报价。无效报价的响应文件不进行评审，也不成交。</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第二步：在所有有效报价中选择报价最低的确定为基准报价，其价格分为满分15分。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第三步：将所有有效报价与基准报价相比较：等于基准报价的得15分，其他供应商的价格评分按照下列公式计算</w:t>
            </w:r>
          </w:p>
          <w:p>
            <w:pPr>
              <w:ind w:firstLine="28"/>
              <w:jc w:val="left"/>
              <w:rPr>
                <w:rFonts w:hint="default" w:ascii="仿宋_GB2312" w:hAnsi="仿宋_GB2312" w:eastAsia="仿宋_GB2312" w:cs="仿宋_GB2312"/>
                <w:color w:val="auto"/>
                <w:sz w:val="21"/>
                <w:szCs w:val="21"/>
                <w:lang w:val="en-US" w:eastAsia="zh-TW"/>
              </w:rPr>
            </w:pPr>
            <w:r>
              <w:rPr>
                <w:rFonts w:hint="eastAsia" w:ascii="仿宋_GB2312" w:hAnsi="仿宋_GB2312" w:eastAsia="仿宋_GB2312" w:cs="仿宋_GB2312"/>
                <w:color w:val="auto"/>
                <w:sz w:val="21"/>
                <w:szCs w:val="21"/>
                <w:lang w:val="en-US" w:eastAsia="zh-CN"/>
              </w:rPr>
              <w:t>效益收费报价得分=（基准价/报价）×15</w:t>
            </w:r>
          </w:p>
        </w:tc>
        <w:tc>
          <w:tcPr>
            <w:tcW w:w="1179" w:type="dxa"/>
            <w:vAlign w:val="center"/>
          </w:tcPr>
          <w:p>
            <w:pPr>
              <w:rPr>
                <w:rFonts w:hint="eastAsia" w:ascii="仿宋_GB2312" w:hAnsi="仿宋_GB2312" w:eastAsia="仿宋_GB2312" w:cs="仿宋_GB2312"/>
                <w:color w:val="auto"/>
                <w:sz w:val="21"/>
                <w:szCs w:val="21"/>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2</w:t>
            </w:r>
          </w:p>
        </w:tc>
        <w:tc>
          <w:tcPr>
            <w:tcW w:w="1292" w:type="dxa"/>
            <w:vAlign w:val="center"/>
          </w:tcPr>
          <w:p>
            <w:pPr>
              <w:ind w:firstLine="28"/>
              <w:jc w:val="center"/>
              <w:rPr>
                <w:rFonts w:hint="eastAsia" w:ascii="仿宋_GB2312" w:hAnsi="仿宋_GB2312" w:eastAsia="宋体"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主观分</w:t>
            </w:r>
            <w:r>
              <w:rPr>
                <w:rFonts w:hint="eastAsia"/>
                <w:lang w:eastAsia="zh-CN"/>
              </w:rPr>
              <w:t>（</w:t>
            </w:r>
            <w:r>
              <w:rPr>
                <w:rFonts w:hint="eastAsia" w:ascii="仿宋_GB2312" w:hAnsi="仿宋_GB2312" w:eastAsia="仿宋_GB2312" w:cs="仿宋_GB2312"/>
                <w:color w:val="auto"/>
                <w:sz w:val="21"/>
                <w:szCs w:val="21"/>
                <w:lang w:val="en-US" w:eastAsia="zh-CN"/>
              </w:rPr>
              <w:t>方案及质量保证）</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5342" w:type="dxa"/>
            <w:vAlign w:val="center"/>
          </w:tcPr>
          <w:p>
            <w:pPr>
              <w:ind w:firstLine="28"/>
              <w:jc w:val="left"/>
              <w:rPr>
                <w:rFonts w:hint="eastAsia" w:ascii="仿宋_GB2312" w:hAnsi="仿宋_GB2312" w:eastAsia="仿宋_GB2312" w:cs="仿宋_GB2312"/>
                <w:color w:val="auto"/>
                <w:sz w:val="21"/>
                <w:szCs w:val="21"/>
                <w:lang w:val="zh-TW" w:eastAsia="zh-CN"/>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39" w:hRule="atLeast"/>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w:t>
            </w:r>
          </w:p>
        </w:tc>
        <w:tc>
          <w:tcPr>
            <w:tcW w:w="1292"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服务方案</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342" w:type="dxa"/>
            <w:vAlign w:val="center"/>
          </w:tcPr>
          <w:p>
            <w:pPr>
              <w:ind w:firstLine="28"/>
              <w:jc w:val="lef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体现咨询项目的基本要求，审计目标明确清晰、内容全面；针对咨询项目的专业及行业特点进行分析策划，提出方案措施；审计成果的具体建议举措等进行综合评分，优秀得（10-8分），良好（7-5分），一般得（4-0)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2.2</w:t>
            </w:r>
          </w:p>
        </w:tc>
        <w:tc>
          <w:tcPr>
            <w:tcW w:w="1292"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质量保证</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342" w:type="dxa"/>
            <w:vAlign w:val="center"/>
          </w:tcPr>
          <w:p>
            <w:pPr>
              <w:ind w:firstLine="28"/>
              <w:jc w:val="lef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有较为完善的内部质量管理制度、清晰的管理网络、程序；对审计资料的管理规范性等进行综合评分，优秀得（10-8分），良好（7-5分），一般得（4-0分)。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措施建议</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342" w:type="dxa"/>
            <w:vAlign w:val="center"/>
          </w:tcPr>
          <w:p>
            <w:pPr>
              <w:ind w:firstLine="28"/>
              <w:jc w:val="lef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工程造价控制措施及优化建议，审计发现问题反馈建议等进行综合评分，优秀得（5-4分），良好（3-2分），一般得（1-0)分。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3" w:hRule="atLeast"/>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服务承诺</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342" w:type="dxa"/>
            <w:vAlign w:val="center"/>
          </w:tcPr>
          <w:p>
            <w:pPr>
              <w:ind w:firstLine="28"/>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服务承诺内容具体，切实可行，并附有具体的违约责任及承诺。对审计项目有时间有要求的，项目组人员在协调配合上的服务以及廉洁自律等方面进行综合评分，优秀得（5-4分），良好（3-2分），一般得（1-0)分。</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客观分（投标人及团队情况）</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w:t>
            </w:r>
          </w:p>
        </w:tc>
        <w:tc>
          <w:tcPr>
            <w:tcW w:w="5342" w:type="dxa"/>
            <w:vAlign w:val="center"/>
          </w:tcPr>
          <w:p>
            <w:pPr>
              <w:ind w:firstLine="28"/>
              <w:jc w:val="left"/>
              <w:rPr>
                <w:rFonts w:hint="default" w:ascii="仿宋_GB2312" w:hAnsi="仿宋_GB2312" w:eastAsia="仿宋_GB2312" w:cs="仿宋_GB2312"/>
                <w:color w:val="auto"/>
                <w:sz w:val="21"/>
                <w:szCs w:val="21"/>
                <w:lang w:val="en-US" w:eastAsia="zh-CN"/>
              </w:rPr>
            </w:pPr>
          </w:p>
          <w:p>
            <w:pPr>
              <w:ind w:firstLine="28"/>
              <w:jc w:val="left"/>
              <w:rPr>
                <w:rFonts w:hint="eastAsia" w:ascii="仿宋_GB2312" w:hAnsi="仿宋_GB2312" w:eastAsia="仿宋_GB2312" w:cs="仿宋_GB2312"/>
                <w:color w:val="auto"/>
                <w:sz w:val="21"/>
                <w:szCs w:val="21"/>
                <w:lang w:val="en-US" w:eastAsia="zh-CN"/>
              </w:rPr>
            </w:pP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292"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信用等级</w:t>
            </w:r>
          </w:p>
        </w:tc>
        <w:tc>
          <w:tcPr>
            <w:tcW w:w="850"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10</w:t>
            </w:r>
          </w:p>
        </w:tc>
        <w:tc>
          <w:tcPr>
            <w:tcW w:w="5342" w:type="dxa"/>
            <w:vAlign w:val="center"/>
          </w:tcPr>
          <w:p>
            <w:pPr>
              <w:ind w:firstLine="28"/>
              <w:jc w:val="left"/>
              <w:rPr>
                <w:rFonts w:hint="eastAsia" w:ascii="仿宋_GB2312" w:hAnsi="仿宋_GB2312" w:eastAsia="宋体"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获得省级建设工程造价管理部门或省级建设工程造价行业协会颁布的工程造价咨询企业信用等级评价（有效期内）：5A级的得10分，4A级的得8分，3A级的得6分，2A级的得4分，1A级的得2分</w:t>
            </w:r>
            <w:r>
              <w:rPr>
                <w:rFonts w:hint="eastAsia"/>
                <w:lang w:eastAsia="zh-CN"/>
              </w:rPr>
              <w:t>。</w:t>
            </w:r>
            <w:r>
              <w:rPr>
                <w:rFonts w:hint="eastAsia" w:ascii="仿宋_GB2312" w:hAnsi="仿宋_GB2312" w:eastAsia="仿宋_GB2312" w:cs="仿宋_GB2312"/>
                <w:color w:val="auto"/>
                <w:sz w:val="21"/>
                <w:szCs w:val="21"/>
                <w:lang w:val="en-US" w:eastAsia="zh-CN"/>
              </w:rPr>
              <w:t>需提供相关证书扫描件或复印件加盖单位公章。</w:t>
            </w:r>
          </w:p>
        </w:tc>
        <w:tc>
          <w:tcPr>
            <w:tcW w:w="1179" w:type="dxa"/>
            <w:vAlign w:val="center"/>
          </w:tcPr>
          <w:p>
            <w:pPr>
              <w:ind w:left="-38" w:leftChars="0" w:firstLine="444" w:firstLineChars="0"/>
              <w:rPr>
                <w:rFonts w:hint="default"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4" w:hRule="atLeast"/>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w:t>
            </w:r>
          </w:p>
        </w:tc>
        <w:tc>
          <w:tcPr>
            <w:tcW w:w="1292"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认证体系</w:t>
            </w:r>
          </w:p>
        </w:tc>
        <w:tc>
          <w:tcPr>
            <w:tcW w:w="850"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w:t>
            </w:r>
          </w:p>
        </w:tc>
        <w:tc>
          <w:tcPr>
            <w:tcW w:w="5342" w:type="dxa"/>
            <w:vAlign w:val="center"/>
          </w:tcPr>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bidi="ar-SA"/>
              </w:rPr>
              <w:t>具有质量管理体系认证证书、环境管理体系认证证书、职业健康安全管理体系认证证书的，每提供一个得2分，最高6分。</w:t>
            </w:r>
            <w:r>
              <w:rPr>
                <w:rFonts w:hint="eastAsia" w:ascii="仿宋_GB2312" w:hAnsi="仿宋_GB2312" w:eastAsia="仿宋_GB2312" w:cs="仿宋_GB2312"/>
                <w:color w:val="auto"/>
                <w:sz w:val="21"/>
                <w:szCs w:val="21"/>
                <w:lang w:val="en-US" w:eastAsia="zh-CN"/>
              </w:rPr>
              <w:t>需提供相关证书扫描件或复印件加盖单位公章。</w:t>
            </w:r>
          </w:p>
        </w:tc>
        <w:tc>
          <w:tcPr>
            <w:tcW w:w="1179" w:type="dxa"/>
            <w:vAlign w:val="center"/>
          </w:tcPr>
          <w:p>
            <w:pPr>
              <w:ind w:left="-38" w:leftChars="0" w:firstLine="444" w:firstLineChars="0"/>
              <w:rPr>
                <w:rFonts w:hint="default"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4" w:hRule="atLeast"/>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292"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单位业绩</w:t>
            </w:r>
          </w:p>
        </w:tc>
        <w:tc>
          <w:tcPr>
            <w:tcW w:w="850" w:type="dxa"/>
            <w:vAlign w:val="center"/>
          </w:tcPr>
          <w:p>
            <w:pPr>
              <w:ind w:firstLine="28" w:firstLineChars="0"/>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6</w:t>
            </w:r>
          </w:p>
        </w:tc>
        <w:tc>
          <w:tcPr>
            <w:tcW w:w="5342" w:type="dxa"/>
            <w:vAlign w:val="center"/>
          </w:tcPr>
          <w:p>
            <w:pPr>
              <w:ind w:firstLine="28"/>
              <w:jc w:val="lef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投标人</w:t>
            </w:r>
            <w:r>
              <w:rPr>
                <w:rFonts w:hint="default" w:ascii="仿宋_GB2312" w:hAnsi="仿宋_GB2312" w:eastAsia="仿宋_GB2312" w:cs="仿宋_GB2312"/>
                <w:color w:val="auto"/>
                <w:sz w:val="21"/>
                <w:szCs w:val="21"/>
                <w:lang w:val="en-US" w:eastAsia="zh-CN"/>
              </w:rPr>
              <w:t>近3年来（以审定单时间为准）造价咨询业绩，单个项目合同审定金额3000万元（含）及以上得</w:t>
            </w:r>
            <w:r>
              <w:rPr>
                <w:rFonts w:hint="eastAsia" w:ascii="仿宋_GB2312" w:hAnsi="仿宋_GB2312" w:eastAsia="仿宋_GB2312" w:cs="仿宋_GB2312"/>
                <w:color w:val="auto"/>
                <w:sz w:val="21"/>
                <w:szCs w:val="21"/>
                <w:lang w:val="en-US" w:eastAsia="zh-CN"/>
              </w:rPr>
              <w:t>3</w:t>
            </w:r>
            <w:r>
              <w:rPr>
                <w:rFonts w:hint="default" w:ascii="仿宋_GB2312" w:hAnsi="仿宋_GB2312" w:eastAsia="仿宋_GB2312" w:cs="仿宋_GB2312"/>
                <w:color w:val="auto"/>
                <w:sz w:val="21"/>
                <w:szCs w:val="21"/>
                <w:lang w:val="en-US" w:eastAsia="zh-CN"/>
              </w:rPr>
              <w:t>分；</w:t>
            </w:r>
            <w:r>
              <w:rPr>
                <w:rFonts w:hint="eastAsia" w:ascii="仿宋_GB2312" w:hAnsi="仿宋_GB2312" w:eastAsia="仿宋_GB2312" w:cs="仿宋_GB2312"/>
                <w:color w:val="auto"/>
                <w:sz w:val="21"/>
                <w:szCs w:val="21"/>
                <w:lang w:val="en-US" w:eastAsia="zh-CN"/>
              </w:rPr>
              <w:t>或参加政府采购（各级政府部门、事业单位使用财政性资金投资）</w:t>
            </w:r>
            <w:r>
              <w:rPr>
                <w:rFonts w:hint="default" w:ascii="仿宋_GB2312" w:hAnsi="仿宋_GB2312" w:eastAsia="仿宋_GB2312" w:cs="仿宋_GB2312"/>
                <w:color w:val="auto"/>
                <w:sz w:val="21"/>
                <w:szCs w:val="21"/>
                <w:lang w:val="en-US" w:eastAsia="zh-CN"/>
              </w:rPr>
              <w:t>项目</w:t>
            </w:r>
            <w:r>
              <w:rPr>
                <w:rFonts w:hint="eastAsia" w:ascii="仿宋_GB2312" w:hAnsi="仿宋_GB2312" w:eastAsia="仿宋_GB2312" w:cs="仿宋_GB2312"/>
                <w:color w:val="auto"/>
                <w:sz w:val="21"/>
                <w:szCs w:val="21"/>
                <w:lang w:val="en-US" w:eastAsia="zh-CN"/>
              </w:rPr>
              <w:t>，每一个得1分。</w:t>
            </w:r>
            <w:r>
              <w:rPr>
                <w:rFonts w:hint="default" w:ascii="仿宋_GB2312" w:hAnsi="仿宋_GB2312" w:eastAsia="仿宋_GB2312" w:cs="仿宋_GB2312"/>
                <w:color w:val="auto"/>
                <w:sz w:val="21"/>
                <w:szCs w:val="21"/>
                <w:lang w:val="en-US" w:eastAsia="zh-CN"/>
              </w:rPr>
              <w:t>本项最高</w:t>
            </w:r>
            <w:r>
              <w:rPr>
                <w:rFonts w:hint="eastAsia" w:ascii="仿宋_GB2312" w:hAnsi="仿宋_GB2312" w:eastAsia="仿宋_GB2312" w:cs="仿宋_GB2312"/>
                <w:color w:val="auto"/>
                <w:sz w:val="21"/>
                <w:szCs w:val="21"/>
                <w:lang w:val="en-US" w:eastAsia="zh-CN"/>
              </w:rPr>
              <w:t>6</w:t>
            </w:r>
            <w:r>
              <w:rPr>
                <w:rFonts w:hint="default" w:ascii="仿宋_GB2312" w:hAnsi="仿宋_GB2312" w:eastAsia="仿宋_GB2312" w:cs="仿宋_GB2312"/>
                <w:color w:val="auto"/>
                <w:sz w:val="21"/>
                <w:szCs w:val="21"/>
                <w:lang w:val="en-US" w:eastAsia="zh-CN"/>
              </w:rPr>
              <w:t>分，需提供</w:t>
            </w:r>
            <w:r>
              <w:rPr>
                <w:rFonts w:hint="eastAsia" w:ascii="仿宋_GB2312" w:hAnsi="仿宋_GB2312" w:eastAsia="仿宋_GB2312" w:cs="仿宋_GB2312"/>
                <w:color w:val="auto"/>
                <w:sz w:val="21"/>
                <w:szCs w:val="21"/>
                <w:lang w:val="en-US" w:eastAsia="zh-CN"/>
              </w:rPr>
              <w:t>合同及审定单扫描件。</w:t>
            </w:r>
          </w:p>
        </w:tc>
        <w:tc>
          <w:tcPr>
            <w:tcW w:w="1179" w:type="dxa"/>
            <w:vAlign w:val="center"/>
          </w:tcPr>
          <w:p>
            <w:pPr>
              <w:ind w:left="-38" w:leftChars="0" w:firstLine="444" w:firstLineChars="0"/>
              <w:rPr>
                <w:rFonts w:hint="default"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292"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项目团队能力及业绩</w:t>
            </w:r>
          </w:p>
        </w:tc>
        <w:tc>
          <w:tcPr>
            <w:tcW w:w="850"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5342" w:type="dxa"/>
            <w:vAlign w:val="center"/>
          </w:tcPr>
          <w:p>
            <w:pPr>
              <w:numPr>
                <w:ilvl w:val="0"/>
                <w:numId w:val="2"/>
              </w:numPr>
              <w:ind w:left="-28" w:leftChars="0" w:firstLine="28" w:firstLineChars="0"/>
              <w:jc w:val="lef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项目负责人</w:t>
            </w:r>
            <w:r>
              <w:rPr>
                <w:rFonts w:hint="eastAsia" w:ascii="仿宋_GB2312" w:hAnsi="仿宋_GB2312" w:eastAsia="仿宋_GB2312" w:cs="仿宋_GB2312"/>
                <w:color w:val="auto"/>
                <w:sz w:val="21"/>
                <w:szCs w:val="21"/>
                <w:lang w:val="en-US" w:eastAsia="zh-CN"/>
              </w:rPr>
              <w:t>取得一级造价工程师执业资格起执业年限15年（含）以上</w:t>
            </w:r>
            <w:r>
              <w:rPr>
                <w:rFonts w:hint="default" w:ascii="仿宋_GB2312" w:hAnsi="仿宋_GB2312" w:eastAsia="仿宋_GB2312" w:cs="仿宋_GB2312"/>
                <w:color w:val="auto"/>
                <w:sz w:val="21"/>
                <w:szCs w:val="21"/>
                <w:lang w:val="en-US" w:eastAsia="zh-CN"/>
              </w:rPr>
              <w:t>得</w:t>
            </w: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eastAsia="zh-CN"/>
              </w:rPr>
              <w:t>分，</w:t>
            </w:r>
            <w:r>
              <w:rPr>
                <w:rFonts w:hint="eastAsia" w:ascii="仿宋_GB2312" w:hAnsi="仿宋_GB2312" w:eastAsia="仿宋_GB2312" w:cs="仿宋_GB2312"/>
                <w:color w:val="auto"/>
                <w:sz w:val="21"/>
                <w:szCs w:val="21"/>
                <w:lang w:val="en-US" w:eastAsia="zh-CN"/>
              </w:rPr>
              <w:t>10（含）-15</w:t>
            </w:r>
            <w:r>
              <w:rPr>
                <w:rFonts w:hint="default" w:ascii="仿宋_GB2312" w:hAnsi="仿宋_GB2312" w:eastAsia="仿宋_GB2312" w:cs="仿宋_GB2312"/>
                <w:color w:val="auto"/>
                <w:sz w:val="21"/>
                <w:szCs w:val="21"/>
                <w:lang w:val="en-US" w:eastAsia="zh-CN"/>
              </w:rPr>
              <w:t>年得</w:t>
            </w:r>
            <w:r>
              <w:rPr>
                <w:rFonts w:hint="eastAsia" w:ascii="仿宋_GB2312" w:hAnsi="仿宋_GB2312" w:eastAsia="仿宋_GB2312" w:cs="仿宋_GB2312"/>
                <w:color w:val="auto"/>
                <w:sz w:val="21"/>
                <w:szCs w:val="21"/>
                <w:lang w:val="en-US" w:eastAsia="zh-CN"/>
              </w:rPr>
              <w:t>3</w:t>
            </w:r>
            <w:r>
              <w:rPr>
                <w:rFonts w:hint="default" w:ascii="仿宋_GB2312" w:hAnsi="仿宋_GB2312" w:eastAsia="仿宋_GB2312" w:cs="仿宋_GB2312"/>
                <w:color w:val="auto"/>
                <w:sz w:val="21"/>
                <w:szCs w:val="21"/>
                <w:lang w:val="en-US" w:eastAsia="zh-CN"/>
              </w:rPr>
              <w:t>分，</w:t>
            </w:r>
            <w:r>
              <w:rPr>
                <w:rFonts w:hint="eastAsia" w:ascii="仿宋_GB2312" w:hAnsi="仿宋_GB2312" w:eastAsia="仿宋_GB2312" w:cs="仿宋_GB2312"/>
                <w:color w:val="auto"/>
                <w:sz w:val="21"/>
                <w:szCs w:val="21"/>
                <w:lang w:val="en-US" w:eastAsia="zh-CN"/>
              </w:rPr>
              <w:t>10</w:t>
            </w:r>
            <w:r>
              <w:rPr>
                <w:rFonts w:hint="default" w:ascii="仿宋_GB2312" w:hAnsi="仿宋_GB2312" w:eastAsia="仿宋_GB2312" w:cs="仿宋_GB2312"/>
                <w:color w:val="auto"/>
                <w:sz w:val="21"/>
                <w:szCs w:val="21"/>
                <w:lang w:val="en-US" w:eastAsia="zh-CN"/>
              </w:rPr>
              <w:t>年以下得</w:t>
            </w:r>
            <w:r>
              <w:rPr>
                <w:rFonts w:hint="eastAsia" w:ascii="仿宋_GB2312" w:hAnsi="仿宋_GB2312" w:eastAsia="仿宋_GB2312" w:cs="仿宋_GB2312"/>
                <w:color w:val="auto"/>
                <w:sz w:val="21"/>
                <w:szCs w:val="21"/>
                <w:lang w:val="en-US" w:eastAsia="zh-CN"/>
              </w:rPr>
              <w:t>1</w:t>
            </w:r>
            <w:r>
              <w:rPr>
                <w:rFonts w:hint="default" w:ascii="仿宋_GB2312" w:hAnsi="仿宋_GB2312" w:eastAsia="仿宋_GB2312" w:cs="仿宋_GB2312"/>
                <w:color w:val="auto"/>
                <w:sz w:val="21"/>
                <w:szCs w:val="21"/>
                <w:lang w:val="en-US" w:eastAsia="zh-CN"/>
              </w:rPr>
              <w:t>分。</w:t>
            </w:r>
          </w:p>
          <w:p>
            <w:pPr>
              <w:pStyle w:val="2"/>
              <w:numPr>
                <w:ilvl w:val="0"/>
                <w:numId w:val="2"/>
              </w:numPr>
              <w:ind w:left="-28" w:leftChars="0" w:firstLineChars="0"/>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项目负责人具有一级注册造价师资格且具有工程类高级工程师及以上职称的得4分；具有一级造价工程师和中级职称的2分。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default" w:ascii="仿宋_GB2312" w:hAnsi="仿宋_GB2312" w:eastAsia="仿宋_GB2312" w:cs="仿宋_GB2312"/>
                <w:color w:val="auto"/>
                <w:sz w:val="21"/>
                <w:szCs w:val="21"/>
                <w:lang w:val="en-US" w:eastAsia="zh-CN"/>
              </w:rPr>
              <w:t>项目成员（不含负责人）</w:t>
            </w:r>
            <w:r>
              <w:rPr>
                <w:rFonts w:hint="eastAsia" w:ascii="仿宋_GB2312" w:hAnsi="仿宋_GB2312" w:eastAsia="仿宋_GB2312" w:cs="仿宋_GB2312"/>
                <w:color w:val="auto"/>
                <w:sz w:val="21"/>
                <w:szCs w:val="21"/>
                <w:lang w:val="en-US" w:eastAsia="zh-CN"/>
              </w:rPr>
              <w:t>取得</w:t>
            </w:r>
            <w:r>
              <w:rPr>
                <w:rFonts w:hint="default" w:ascii="仿宋_GB2312" w:hAnsi="仿宋_GB2312" w:eastAsia="仿宋_GB2312" w:cs="仿宋_GB2312"/>
                <w:color w:val="auto"/>
                <w:sz w:val="21"/>
                <w:szCs w:val="21"/>
                <w:lang w:val="en-US" w:eastAsia="zh-CN"/>
              </w:rPr>
              <w:t>造价师</w:t>
            </w:r>
            <w:r>
              <w:rPr>
                <w:rFonts w:hint="eastAsia" w:ascii="仿宋_GB2312" w:hAnsi="仿宋_GB2312" w:eastAsia="仿宋_GB2312" w:cs="仿宋_GB2312"/>
                <w:color w:val="auto"/>
                <w:sz w:val="21"/>
                <w:szCs w:val="21"/>
                <w:lang w:val="en-US" w:eastAsia="zh-CN"/>
              </w:rPr>
              <w:t>工程师执业资格</w:t>
            </w:r>
            <w:r>
              <w:rPr>
                <w:rFonts w:hint="default" w:ascii="仿宋_GB2312" w:hAnsi="仿宋_GB2312" w:eastAsia="仿宋_GB2312" w:cs="仿宋_GB2312"/>
                <w:color w:val="auto"/>
                <w:sz w:val="21"/>
                <w:szCs w:val="21"/>
                <w:lang w:val="en-US" w:eastAsia="zh-CN"/>
              </w:rPr>
              <w:t>证书时间起</w:t>
            </w:r>
            <w:r>
              <w:rPr>
                <w:rFonts w:hint="eastAsia" w:ascii="仿宋_GB2312" w:hAnsi="仿宋_GB2312" w:eastAsia="仿宋_GB2312" w:cs="仿宋_GB2312"/>
                <w:color w:val="auto"/>
                <w:sz w:val="21"/>
                <w:szCs w:val="21"/>
                <w:lang w:val="en-US" w:eastAsia="zh-CN"/>
              </w:rPr>
              <w:t>执业</w:t>
            </w:r>
            <w:r>
              <w:rPr>
                <w:rFonts w:hint="default" w:ascii="仿宋_GB2312" w:hAnsi="仿宋_GB2312" w:eastAsia="仿宋_GB2312" w:cs="仿宋_GB2312"/>
                <w:color w:val="auto"/>
                <w:sz w:val="21"/>
                <w:szCs w:val="21"/>
                <w:lang w:val="en-US" w:eastAsia="zh-CN"/>
              </w:rPr>
              <w:t>5年</w:t>
            </w:r>
            <w:r>
              <w:rPr>
                <w:rFonts w:hint="eastAsia" w:ascii="仿宋_GB2312" w:hAnsi="仿宋_GB2312" w:eastAsia="仿宋_GB2312" w:cs="仿宋_GB2312"/>
                <w:color w:val="auto"/>
                <w:sz w:val="21"/>
                <w:szCs w:val="21"/>
                <w:lang w:val="en-US" w:eastAsia="zh-CN"/>
              </w:rPr>
              <w:t>（含）</w:t>
            </w:r>
            <w:r>
              <w:rPr>
                <w:rFonts w:hint="default" w:ascii="仿宋_GB2312" w:hAnsi="仿宋_GB2312" w:eastAsia="仿宋_GB2312" w:cs="仿宋_GB2312"/>
                <w:color w:val="auto"/>
                <w:sz w:val="21"/>
                <w:szCs w:val="21"/>
                <w:lang w:val="en-US" w:eastAsia="zh-CN"/>
              </w:rPr>
              <w:t>以上</w:t>
            </w:r>
            <w:r>
              <w:rPr>
                <w:rFonts w:hint="eastAsia" w:ascii="仿宋_GB2312" w:hAnsi="仿宋_GB2312" w:eastAsia="仿宋_GB2312" w:cs="仿宋_GB2312"/>
                <w:color w:val="auto"/>
                <w:sz w:val="21"/>
                <w:szCs w:val="21"/>
                <w:lang w:val="en-US" w:eastAsia="zh-CN"/>
              </w:rPr>
              <w:t>，一个得1分，本项最高3分。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4.项目成员（不含负责人）每派1名具有造价工程师和工程类工程师及以上2分，本项目最高得6分。</w:t>
            </w:r>
          </w:p>
          <w:p>
            <w:pPr>
              <w:ind w:firstLine="28"/>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备注：项目负责人及项目成员需提供至少近三个月（2025年7月-2025年9月）社会基本养老保险的参保缴费证明（加盖社保部门签章或电子签章）及相关证书证明（复印件加盖单位公章）。</w:t>
            </w:r>
          </w:p>
        </w:tc>
        <w:tc>
          <w:tcPr>
            <w:tcW w:w="1179"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gridSpan w:val="2"/>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850"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w:t>
            </w:r>
          </w:p>
        </w:tc>
        <w:tc>
          <w:tcPr>
            <w:tcW w:w="6527" w:type="dxa"/>
            <w:gridSpan w:val="3"/>
            <w:vAlign w:val="center"/>
          </w:tcPr>
          <w:p>
            <w:pPr>
              <w:rPr>
                <w:rFonts w:hint="eastAsia" w:ascii="仿宋_GB2312" w:hAnsi="仿宋_GB2312" w:eastAsia="仿宋_GB2312" w:cs="仿宋_GB2312"/>
                <w:color w:val="auto"/>
                <w:sz w:val="21"/>
                <w:szCs w:val="21"/>
              </w:rPr>
            </w:pPr>
          </w:p>
        </w:tc>
      </w:tr>
    </w:tbl>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838C2"/>
    <w:multiLevelType w:val="singleLevel"/>
    <w:tmpl w:val="0A8838C2"/>
    <w:lvl w:ilvl="0" w:tentative="0">
      <w:start w:val="1"/>
      <w:numFmt w:val="decimal"/>
      <w:lvlText w:val="%1."/>
      <w:lvlJc w:val="left"/>
      <w:pPr>
        <w:tabs>
          <w:tab w:val="left" w:pos="312"/>
        </w:tabs>
        <w:ind w:left="-28"/>
      </w:pPr>
    </w:lvl>
  </w:abstractNum>
  <w:abstractNum w:abstractNumId="1">
    <w:nsid w:val="74DFE7C2"/>
    <w:multiLevelType w:val="singleLevel"/>
    <w:tmpl w:val="74DFE7C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2FA7"/>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BBC48D3"/>
    <w:rsid w:val="0C1D2696"/>
    <w:rsid w:val="0CD93B2B"/>
    <w:rsid w:val="0D6E21D0"/>
    <w:rsid w:val="0DB16D02"/>
    <w:rsid w:val="0DEB064D"/>
    <w:rsid w:val="0E176A1F"/>
    <w:rsid w:val="0E1F61EF"/>
    <w:rsid w:val="0E2347E1"/>
    <w:rsid w:val="0E5F63D3"/>
    <w:rsid w:val="0EC45742"/>
    <w:rsid w:val="0FAC23E1"/>
    <w:rsid w:val="10231302"/>
    <w:rsid w:val="10CB433A"/>
    <w:rsid w:val="11455560"/>
    <w:rsid w:val="11AB42E7"/>
    <w:rsid w:val="11ED65FF"/>
    <w:rsid w:val="12345C67"/>
    <w:rsid w:val="123F6D4E"/>
    <w:rsid w:val="12975ECB"/>
    <w:rsid w:val="129D2202"/>
    <w:rsid w:val="12EF3E1D"/>
    <w:rsid w:val="12F17F7E"/>
    <w:rsid w:val="13477178"/>
    <w:rsid w:val="1364457C"/>
    <w:rsid w:val="13EF194B"/>
    <w:rsid w:val="14157276"/>
    <w:rsid w:val="144602B9"/>
    <w:rsid w:val="149F56B9"/>
    <w:rsid w:val="15237252"/>
    <w:rsid w:val="15A16E3B"/>
    <w:rsid w:val="15DC04D4"/>
    <w:rsid w:val="15DC2EED"/>
    <w:rsid w:val="15E973FB"/>
    <w:rsid w:val="16213CBD"/>
    <w:rsid w:val="16D417CF"/>
    <w:rsid w:val="16F03CC3"/>
    <w:rsid w:val="17B10322"/>
    <w:rsid w:val="18C2418D"/>
    <w:rsid w:val="19E50873"/>
    <w:rsid w:val="1A455EDF"/>
    <w:rsid w:val="1AA128E0"/>
    <w:rsid w:val="1B355FFB"/>
    <w:rsid w:val="1BB06BD5"/>
    <w:rsid w:val="1CF5356A"/>
    <w:rsid w:val="1E2031CA"/>
    <w:rsid w:val="1E257D0B"/>
    <w:rsid w:val="1F6C2D13"/>
    <w:rsid w:val="1F9322BD"/>
    <w:rsid w:val="1FF41B65"/>
    <w:rsid w:val="20BE7B94"/>
    <w:rsid w:val="215469F9"/>
    <w:rsid w:val="217A49BC"/>
    <w:rsid w:val="22090B55"/>
    <w:rsid w:val="22836B1F"/>
    <w:rsid w:val="22FF620F"/>
    <w:rsid w:val="23BA24E0"/>
    <w:rsid w:val="23D467EF"/>
    <w:rsid w:val="243111F4"/>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F2D6EDA"/>
    <w:rsid w:val="2F63643F"/>
    <w:rsid w:val="2FE2086E"/>
    <w:rsid w:val="301A2620"/>
    <w:rsid w:val="303040BA"/>
    <w:rsid w:val="30BB4BBA"/>
    <w:rsid w:val="30C32136"/>
    <w:rsid w:val="30D76752"/>
    <w:rsid w:val="310965C9"/>
    <w:rsid w:val="310B3640"/>
    <w:rsid w:val="31146EF8"/>
    <w:rsid w:val="311C04D8"/>
    <w:rsid w:val="31F5432F"/>
    <w:rsid w:val="328C1DA3"/>
    <w:rsid w:val="330B13E1"/>
    <w:rsid w:val="33250642"/>
    <w:rsid w:val="332604EA"/>
    <w:rsid w:val="333C0319"/>
    <w:rsid w:val="338F779B"/>
    <w:rsid w:val="3423597C"/>
    <w:rsid w:val="34492841"/>
    <w:rsid w:val="34E61D7D"/>
    <w:rsid w:val="34F42085"/>
    <w:rsid w:val="357F93F7"/>
    <w:rsid w:val="35E41022"/>
    <w:rsid w:val="36174325"/>
    <w:rsid w:val="37A71D7E"/>
    <w:rsid w:val="37FA03AE"/>
    <w:rsid w:val="3837049E"/>
    <w:rsid w:val="3853050A"/>
    <w:rsid w:val="38600A43"/>
    <w:rsid w:val="388A59CE"/>
    <w:rsid w:val="391D222B"/>
    <w:rsid w:val="39393CE8"/>
    <w:rsid w:val="39672358"/>
    <w:rsid w:val="397336C2"/>
    <w:rsid w:val="3A3B002A"/>
    <w:rsid w:val="3A6A3DF0"/>
    <w:rsid w:val="3A9B7C32"/>
    <w:rsid w:val="3AB92A2F"/>
    <w:rsid w:val="3B121DAC"/>
    <w:rsid w:val="3B2B4F3E"/>
    <w:rsid w:val="3B757758"/>
    <w:rsid w:val="3BE02541"/>
    <w:rsid w:val="3C1179C6"/>
    <w:rsid w:val="3C152A72"/>
    <w:rsid w:val="3C596B87"/>
    <w:rsid w:val="3C6F43A1"/>
    <w:rsid w:val="3D4D46E9"/>
    <w:rsid w:val="3D615042"/>
    <w:rsid w:val="3DBF2DEC"/>
    <w:rsid w:val="3E5E273A"/>
    <w:rsid w:val="3F283A52"/>
    <w:rsid w:val="3F362FBA"/>
    <w:rsid w:val="3F3C2A0F"/>
    <w:rsid w:val="3F7D7184"/>
    <w:rsid w:val="3FB731F7"/>
    <w:rsid w:val="409E41B0"/>
    <w:rsid w:val="40B06DEB"/>
    <w:rsid w:val="418D1B4A"/>
    <w:rsid w:val="41D70DD0"/>
    <w:rsid w:val="41EC4195"/>
    <w:rsid w:val="423C34A4"/>
    <w:rsid w:val="433E1425"/>
    <w:rsid w:val="43B0542D"/>
    <w:rsid w:val="43E4772A"/>
    <w:rsid w:val="445A0AE0"/>
    <w:rsid w:val="4536657D"/>
    <w:rsid w:val="45A22C16"/>
    <w:rsid w:val="45A93CC7"/>
    <w:rsid w:val="45B4445C"/>
    <w:rsid w:val="46160C28"/>
    <w:rsid w:val="46744693"/>
    <w:rsid w:val="46E104E1"/>
    <w:rsid w:val="477A43E0"/>
    <w:rsid w:val="47F3326A"/>
    <w:rsid w:val="480E3FB5"/>
    <w:rsid w:val="493D7103"/>
    <w:rsid w:val="497916AE"/>
    <w:rsid w:val="49CB533A"/>
    <w:rsid w:val="49FE535C"/>
    <w:rsid w:val="4A194305"/>
    <w:rsid w:val="4A410552"/>
    <w:rsid w:val="4A48216A"/>
    <w:rsid w:val="4A595A98"/>
    <w:rsid w:val="4B614D44"/>
    <w:rsid w:val="4B8B3026"/>
    <w:rsid w:val="4C6A4079"/>
    <w:rsid w:val="4C701037"/>
    <w:rsid w:val="4C7A1793"/>
    <w:rsid w:val="4C996117"/>
    <w:rsid w:val="4CA41DE2"/>
    <w:rsid w:val="4CA76DBB"/>
    <w:rsid w:val="4CE775A8"/>
    <w:rsid w:val="4CED1ACC"/>
    <w:rsid w:val="4D597F2B"/>
    <w:rsid w:val="4D5D38EA"/>
    <w:rsid w:val="4DA9152C"/>
    <w:rsid w:val="4DC410D7"/>
    <w:rsid w:val="4E201ADC"/>
    <w:rsid w:val="4E3A3764"/>
    <w:rsid w:val="4ED01077"/>
    <w:rsid w:val="4EDD5A43"/>
    <w:rsid w:val="4EFD69AA"/>
    <w:rsid w:val="4F7F18B2"/>
    <w:rsid w:val="4FCE11B7"/>
    <w:rsid w:val="50CC7B64"/>
    <w:rsid w:val="51DB43D4"/>
    <w:rsid w:val="522618C4"/>
    <w:rsid w:val="52C5386F"/>
    <w:rsid w:val="52CF30EE"/>
    <w:rsid w:val="52EF0AD9"/>
    <w:rsid w:val="53330E3B"/>
    <w:rsid w:val="5422024B"/>
    <w:rsid w:val="54512A59"/>
    <w:rsid w:val="54F355BD"/>
    <w:rsid w:val="552E4C55"/>
    <w:rsid w:val="55490CE0"/>
    <w:rsid w:val="55533C17"/>
    <w:rsid w:val="556F3D99"/>
    <w:rsid w:val="55972DEB"/>
    <w:rsid w:val="55EC30F5"/>
    <w:rsid w:val="563168D0"/>
    <w:rsid w:val="563C1642"/>
    <w:rsid w:val="56765E85"/>
    <w:rsid w:val="573E6E15"/>
    <w:rsid w:val="57741536"/>
    <w:rsid w:val="57A17781"/>
    <w:rsid w:val="57AF6B30"/>
    <w:rsid w:val="5894552B"/>
    <w:rsid w:val="59CD7278"/>
    <w:rsid w:val="59DD379F"/>
    <w:rsid w:val="59F37165"/>
    <w:rsid w:val="5AF50947"/>
    <w:rsid w:val="5B286423"/>
    <w:rsid w:val="5B3711FF"/>
    <w:rsid w:val="5B7A576F"/>
    <w:rsid w:val="5BED7B49"/>
    <w:rsid w:val="5C3C4360"/>
    <w:rsid w:val="5C980832"/>
    <w:rsid w:val="5CDA6B17"/>
    <w:rsid w:val="5CEA5978"/>
    <w:rsid w:val="5CEC2F3D"/>
    <w:rsid w:val="5D5D04C8"/>
    <w:rsid w:val="5D652BF7"/>
    <w:rsid w:val="5D7C32DD"/>
    <w:rsid w:val="5DD054F6"/>
    <w:rsid w:val="5DD4126A"/>
    <w:rsid w:val="5DD853B3"/>
    <w:rsid w:val="5E583CFE"/>
    <w:rsid w:val="5EBF3620"/>
    <w:rsid w:val="5EE65930"/>
    <w:rsid w:val="5F283F7C"/>
    <w:rsid w:val="5F750CC6"/>
    <w:rsid w:val="5F930552"/>
    <w:rsid w:val="5F957733"/>
    <w:rsid w:val="5FE80052"/>
    <w:rsid w:val="5FEB5CE0"/>
    <w:rsid w:val="5FF906CC"/>
    <w:rsid w:val="601B47AE"/>
    <w:rsid w:val="608E206E"/>
    <w:rsid w:val="60996E0D"/>
    <w:rsid w:val="61365AD7"/>
    <w:rsid w:val="6204655B"/>
    <w:rsid w:val="62A74A80"/>
    <w:rsid w:val="62F4233B"/>
    <w:rsid w:val="63227EBB"/>
    <w:rsid w:val="63294FA2"/>
    <w:rsid w:val="63530571"/>
    <w:rsid w:val="63B55F2E"/>
    <w:rsid w:val="63FB0855"/>
    <w:rsid w:val="64122457"/>
    <w:rsid w:val="641B72CC"/>
    <w:rsid w:val="646531D2"/>
    <w:rsid w:val="64A5687B"/>
    <w:rsid w:val="651120A7"/>
    <w:rsid w:val="65B11309"/>
    <w:rsid w:val="65E41BD1"/>
    <w:rsid w:val="66C83B47"/>
    <w:rsid w:val="66ED6D95"/>
    <w:rsid w:val="672178DE"/>
    <w:rsid w:val="67D34CB0"/>
    <w:rsid w:val="67E06DEC"/>
    <w:rsid w:val="681238E7"/>
    <w:rsid w:val="685475D7"/>
    <w:rsid w:val="689B3896"/>
    <w:rsid w:val="68B27D65"/>
    <w:rsid w:val="69930B58"/>
    <w:rsid w:val="6A3D4C31"/>
    <w:rsid w:val="6A4B5DEA"/>
    <w:rsid w:val="6B203D29"/>
    <w:rsid w:val="6B31596C"/>
    <w:rsid w:val="6BE21893"/>
    <w:rsid w:val="6C544BEE"/>
    <w:rsid w:val="6C940A1D"/>
    <w:rsid w:val="6CDD25B2"/>
    <w:rsid w:val="6D2C3466"/>
    <w:rsid w:val="6D365B2A"/>
    <w:rsid w:val="6E4A630C"/>
    <w:rsid w:val="6F0243D3"/>
    <w:rsid w:val="6F192688"/>
    <w:rsid w:val="6F84630D"/>
    <w:rsid w:val="6FC16C93"/>
    <w:rsid w:val="700E2528"/>
    <w:rsid w:val="70C16475"/>
    <w:rsid w:val="70D45102"/>
    <w:rsid w:val="710E6578"/>
    <w:rsid w:val="714A01CD"/>
    <w:rsid w:val="7188016B"/>
    <w:rsid w:val="719D44C6"/>
    <w:rsid w:val="71A65404"/>
    <w:rsid w:val="71BB5EDC"/>
    <w:rsid w:val="71C34E7B"/>
    <w:rsid w:val="72652D48"/>
    <w:rsid w:val="727B56F4"/>
    <w:rsid w:val="73A81D9B"/>
    <w:rsid w:val="73EB7052"/>
    <w:rsid w:val="743E0BB9"/>
    <w:rsid w:val="747F6CDD"/>
    <w:rsid w:val="74DC5E0E"/>
    <w:rsid w:val="758C5CB1"/>
    <w:rsid w:val="762878B8"/>
    <w:rsid w:val="76465C58"/>
    <w:rsid w:val="768B54E7"/>
    <w:rsid w:val="76B87007"/>
    <w:rsid w:val="772B0175"/>
    <w:rsid w:val="774128D9"/>
    <w:rsid w:val="779C71FB"/>
    <w:rsid w:val="77B87CDE"/>
    <w:rsid w:val="77F434E0"/>
    <w:rsid w:val="78836D0C"/>
    <w:rsid w:val="78FF33A3"/>
    <w:rsid w:val="799A2845"/>
    <w:rsid w:val="7A0C012D"/>
    <w:rsid w:val="7A202285"/>
    <w:rsid w:val="7A22325C"/>
    <w:rsid w:val="7AD135EA"/>
    <w:rsid w:val="7AD74067"/>
    <w:rsid w:val="7B1639B3"/>
    <w:rsid w:val="7B342ED5"/>
    <w:rsid w:val="7B624760"/>
    <w:rsid w:val="7BAA31EE"/>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1"/>
    <w:next w:val="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4278</Words>
  <Characters>4564</Characters>
  <Lines>44</Lines>
  <Paragraphs>12</Paragraphs>
  <TotalTime>6</TotalTime>
  <ScaleCrop>false</ScaleCrop>
  <LinksUpToDate>false</LinksUpToDate>
  <CharactersWithSpaces>4802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2025-10-13T03:07:27Z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9AB02AEC13BA4A7680F7DFC32D29DC3E</vt:lpwstr>
  </property>
  <property fmtid="{D5CDD505-2E9C-101B-9397-08002B2CF9AE}" pid="4" name="KSOTemplateDocerSaveRecord">
    <vt:lpwstr>eyJoZGlkIjoiZGRlM2VjM2NlNzc3ZDlkYjE3ZTI0YmYzMWIzZTNkMzQifQ==</vt:lpwstr>
  </property>
</Properties>
</file>