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8FA62F">
      <w:pPr>
        <w:snapToGrid w:val="0"/>
        <w:spacing w:line="360" w:lineRule="auto"/>
        <w:rPr>
          <w:rFonts w:ascii="宋体" w:hAnsi="宋体" w:cs="Arial"/>
          <w:b/>
          <w:sz w:val="28"/>
          <w:szCs w:val="30"/>
        </w:rPr>
      </w:pPr>
      <w:bookmarkStart w:id="0" w:name="_Toc288738390"/>
      <w:bookmarkStart w:id="1" w:name="_Toc288738823"/>
    </w:p>
    <w:p w14:paraId="2417D253">
      <w:pPr>
        <w:spacing w:line="360" w:lineRule="auto"/>
        <w:jc w:val="center"/>
        <w:outlineLvl w:val="0"/>
        <w:rPr>
          <w:rFonts w:hint="eastAsia" w:ascii="宋体" w:hAnsi="宋体" w:cs="宋体"/>
          <w:b/>
          <w:kern w:val="0"/>
          <w:sz w:val="44"/>
          <w:szCs w:val="44"/>
          <w:lang w:val="en-US" w:eastAsia="zh-CN"/>
        </w:rPr>
      </w:pPr>
      <w:r>
        <w:rPr>
          <w:rFonts w:hint="eastAsia" w:ascii="宋体" w:hAnsi="宋体" w:cs="宋体"/>
          <w:b/>
          <w:kern w:val="0"/>
          <w:sz w:val="44"/>
          <w:szCs w:val="44"/>
        </w:rPr>
        <w:t>江苏理工学院</w:t>
      </w:r>
      <w:r>
        <w:rPr>
          <w:rFonts w:hint="eastAsia" w:ascii="宋体" w:hAnsi="宋体" w:cs="宋体"/>
          <w:b/>
          <w:kern w:val="0"/>
          <w:sz w:val="44"/>
          <w:szCs w:val="44"/>
          <w:lang w:val="en-US" w:eastAsia="zh-CN"/>
        </w:rPr>
        <w:t>网络安全服务（代码审计）</w:t>
      </w:r>
    </w:p>
    <w:p w14:paraId="2CC88443">
      <w:pPr>
        <w:spacing w:line="360" w:lineRule="auto"/>
        <w:jc w:val="center"/>
        <w:outlineLvl w:val="0"/>
        <w:rPr>
          <w:rFonts w:ascii="宋体" w:hAnsi="宋体" w:cs="宋体"/>
          <w:b/>
          <w:kern w:val="0"/>
          <w:sz w:val="44"/>
          <w:szCs w:val="44"/>
        </w:rPr>
      </w:pPr>
      <w:r>
        <w:rPr>
          <w:rFonts w:hint="eastAsia" w:ascii="宋体" w:hAnsi="宋体" w:cs="宋体"/>
          <w:b/>
          <w:kern w:val="0"/>
          <w:sz w:val="44"/>
          <w:szCs w:val="44"/>
        </w:rPr>
        <w:t xml:space="preserve">项目招标文件 </w:t>
      </w:r>
    </w:p>
    <w:p w14:paraId="389AC495">
      <w:pPr>
        <w:adjustRightInd w:val="0"/>
        <w:snapToGrid w:val="0"/>
        <w:spacing w:line="360" w:lineRule="auto"/>
        <w:jc w:val="center"/>
        <w:rPr>
          <w:rFonts w:ascii="宋体" w:hAnsi="宋体"/>
          <w:b/>
          <w:sz w:val="28"/>
          <w:szCs w:val="32"/>
        </w:rPr>
      </w:pPr>
    </w:p>
    <w:p w14:paraId="244A48E9">
      <w:pPr>
        <w:adjustRightInd w:val="0"/>
        <w:snapToGrid w:val="0"/>
        <w:spacing w:line="360" w:lineRule="auto"/>
        <w:jc w:val="center"/>
        <w:rPr>
          <w:rFonts w:hint="default" w:ascii="宋体" w:hAnsi="宋体" w:eastAsia="宋体"/>
          <w:b/>
          <w:color w:val="0000FF"/>
          <w:sz w:val="28"/>
          <w:szCs w:val="32"/>
          <w:lang w:val="en-US" w:eastAsia="zh-CN"/>
        </w:rPr>
      </w:pPr>
      <w:r>
        <w:rPr>
          <w:rFonts w:hint="eastAsia" w:ascii="宋体" w:hAnsi="宋体" w:cs="宋体"/>
          <w:b/>
          <w:kern w:val="0"/>
          <w:sz w:val="44"/>
          <w:szCs w:val="44"/>
        </w:rPr>
        <w:t>项目编号：XEYSSQ20251107</w:t>
      </w:r>
    </w:p>
    <w:p w14:paraId="74FDAC5B">
      <w:pPr>
        <w:pStyle w:val="112"/>
        <w:spacing w:line="360" w:lineRule="auto"/>
        <w:ind w:firstLine="883"/>
        <w:rPr>
          <w:rFonts w:cs="宋体"/>
          <w:b/>
          <w:sz w:val="44"/>
          <w:szCs w:val="44"/>
        </w:rPr>
      </w:pPr>
    </w:p>
    <w:p w14:paraId="530AEAE1">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14:paraId="3A1476BB">
      <w:pPr>
        <w:snapToGrid w:val="0"/>
        <w:spacing w:line="360" w:lineRule="auto"/>
        <w:jc w:val="center"/>
        <w:rPr>
          <w:rFonts w:ascii="宋体" w:hAnsi="宋体" w:cs="Arial"/>
          <w:b/>
          <w:sz w:val="20"/>
          <w:szCs w:val="21"/>
        </w:rPr>
      </w:pPr>
    </w:p>
    <w:p w14:paraId="50A36CA2">
      <w:pPr>
        <w:snapToGrid w:val="0"/>
        <w:spacing w:line="360" w:lineRule="auto"/>
        <w:jc w:val="center"/>
        <w:rPr>
          <w:rFonts w:ascii="宋体" w:hAnsi="宋体" w:cs="Arial"/>
          <w:b/>
          <w:sz w:val="20"/>
          <w:szCs w:val="21"/>
        </w:rPr>
      </w:pPr>
    </w:p>
    <w:p w14:paraId="755DD915">
      <w:pPr>
        <w:snapToGrid w:val="0"/>
        <w:spacing w:line="360" w:lineRule="auto"/>
        <w:jc w:val="center"/>
        <w:rPr>
          <w:rFonts w:ascii="宋体" w:hAnsi="宋体" w:cs="Arial"/>
          <w:b/>
          <w:sz w:val="20"/>
          <w:szCs w:val="21"/>
        </w:rPr>
      </w:pPr>
    </w:p>
    <w:p w14:paraId="39DD2BB7">
      <w:pPr>
        <w:snapToGrid w:val="0"/>
        <w:spacing w:line="360" w:lineRule="auto"/>
        <w:jc w:val="center"/>
        <w:rPr>
          <w:rFonts w:ascii="宋体" w:hAnsi="宋体" w:cs="Arial"/>
          <w:b/>
          <w:sz w:val="20"/>
          <w:szCs w:val="21"/>
        </w:rPr>
      </w:pPr>
    </w:p>
    <w:p w14:paraId="0AD037A8">
      <w:pPr>
        <w:snapToGrid w:val="0"/>
        <w:spacing w:line="360" w:lineRule="auto"/>
        <w:jc w:val="center"/>
        <w:rPr>
          <w:rFonts w:ascii="宋体" w:hAnsi="宋体" w:cs="Arial"/>
          <w:b/>
          <w:sz w:val="20"/>
          <w:szCs w:val="21"/>
        </w:rPr>
      </w:pPr>
    </w:p>
    <w:p w14:paraId="30069F7D">
      <w:pPr>
        <w:snapToGrid w:val="0"/>
        <w:spacing w:line="360" w:lineRule="auto"/>
        <w:jc w:val="center"/>
        <w:rPr>
          <w:rFonts w:ascii="宋体" w:hAnsi="宋体" w:cs="Arial"/>
          <w:b/>
          <w:sz w:val="20"/>
          <w:szCs w:val="21"/>
        </w:rPr>
      </w:pPr>
    </w:p>
    <w:p w14:paraId="42DBAB11">
      <w:pPr>
        <w:snapToGrid w:val="0"/>
        <w:spacing w:line="360" w:lineRule="auto"/>
        <w:jc w:val="center"/>
        <w:rPr>
          <w:rFonts w:ascii="宋体" w:hAnsi="宋体" w:cs="Arial"/>
          <w:b/>
          <w:sz w:val="20"/>
          <w:szCs w:val="21"/>
        </w:rPr>
      </w:pPr>
    </w:p>
    <w:p w14:paraId="0B940541">
      <w:pPr>
        <w:snapToGrid w:val="0"/>
        <w:spacing w:line="360" w:lineRule="auto"/>
        <w:jc w:val="center"/>
        <w:rPr>
          <w:rFonts w:ascii="宋体" w:hAnsi="宋体" w:cs="Arial"/>
          <w:b/>
          <w:sz w:val="20"/>
          <w:szCs w:val="21"/>
        </w:rPr>
      </w:pPr>
    </w:p>
    <w:p w14:paraId="2162E2CC">
      <w:pPr>
        <w:snapToGrid w:val="0"/>
        <w:spacing w:line="360" w:lineRule="auto"/>
        <w:jc w:val="center"/>
        <w:rPr>
          <w:rFonts w:ascii="宋体" w:hAnsi="宋体" w:cs="Arial"/>
          <w:b/>
          <w:sz w:val="20"/>
          <w:szCs w:val="21"/>
        </w:rPr>
      </w:pPr>
    </w:p>
    <w:p w14:paraId="0463E40A">
      <w:pPr>
        <w:snapToGrid w:val="0"/>
        <w:spacing w:line="360" w:lineRule="auto"/>
        <w:jc w:val="center"/>
        <w:rPr>
          <w:rFonts w:ascii="宋体" w:hAnsi="宋体" w:cs="Arial"/>
          <w:b/>
          <w:sz w:val="20"/>
          <w:szCs w:val="21"/>
        </w:rPr>
      </w:pPr>
    </w:p>
    <w:p w14:paraId="36253DCC">
      <w:pPr>
        <w:snapToGrid w:val="0"/>
        <w:spacing w:line="360" w:lineRule="auto"/>
        <w:jc w:val="center"/>
        <w:rPr>
          <w:rFonts w:ascii="宋体" w:hAnsi="宋体" w:cs="Arial"/>
          <w:b/>
          <w:sz w:val="20"/>
          <w:szCs w:val="21"/>
        </w:rPr>
      </w:pPr>
    </w:p>
    <w:p w14:paraId="303FD3B3">
      <w:pPr>
        <w:snapToGrid w:val="0"/>
        <w:spacing w:line="360" w:lineRule="auto"/>
        <w:jc w:val="center"/>
        <w:rPr>
          <w:rFonts w:ascii="宋体" w:hAnsi="宋体" w:cs="Arial"/>
          <w:b/>
          <w:sz w:val="20"/>
          <w:szCs w:val="21"/>
        </w:rPr>
      </w:pPr>
    </w:p>
    <w:p w14:paraId="7E6D9A5A">
      <w:pPr>
        <w:snapToGrid w:val="0"/>
        <w:spacing w:line="360" w:lineRule="auto"/>
        <w:jc w:val="center"/>
        <w:rPr>
          <w:rFonts w:ascii="宋体" w:hAnsi="宋体" w:cs="Arial"/>
          <w:b/>
          <w:sz w:val="20"/>
          <w:szCs w:val="21"/>
        </w:rPr>
      </w:pPr>
    </w:p>
    <w:p w14:paraId="3152A3C8">
      <w:pPr>
        <w:snapToGrid w:val="0"/>
        <w:spacing w:line="360" w:lineRule="auto"/>
        <w:rPr>
          <w:rFonts w:ascii="宋体" w:hAnsi="宋体" w:cs="Arial"/>
          <w:b/>
          <w:sz w:val="20"/>
          <w:szCs w:val="21"/>
        </w:rPr>
      </w:pPr>
    </w:p>
    <w:p w14:paraId="3F3E025E">
      <w:pPr>
        <w:snapToGrid w:val="0"/>
        <w:spacing w:line="360" w:lineRule="auto"/>
        <w:jc w:val="center"/>
        <w:rPr>
          <w:rFonts w:ascii="宋体" w:hAnsi="宋体" w:cs="Arial"/>
          <w:b/>
          <w:sz w:val="20"/>
          <w:szCs w:val="21"/>
        </w:rPr>
      </w:pPr>
    </w:p>
    <w:p w14:paraId="78D4825D">
      <w:pPr>
        <w:snapToGrid w:val="0"/>
        <w:spacing w:line="360" w:lineRule="auto"/>
        <w:jc w:val="center"/>
        <w:rPr>
          <w:rFonts w:ascii="宋体" w:hAnsi="宋体" w:cs="Arial"/>
          <w:b/>
          <w:sz w:val="20"/>
          <w:szCs w:val="21"/>
        </w:rPr>
      </w:pPr>
    </w:p>
    <w:p w14:paraId="7FC247EF">
      <w:pPr>
        <w:snapToGrid w:val="0"/>
        <w:spacing w:line="360" w:lineRule="auto"/>
        <w:rPr>
          <w:rFonts w:ascii="宋体" w:hAnsi="宋体" w:cs="Arial"/>
          <w:b/>
          <w:sz w:val="20"/>
          <w:szCs w:val="21"/>
        </w:rPr>
      </w:pPr>
    </w:p>
    <w:p w14:paraId="27177EB4">
      <w:pPr>
        <w:snapToGrid w:val="0"/>
        <w:spacing w:line="360" w:lineRule="auto"/>
        <w:rPr>
          <w:rFonts w:ascii="宋体" w:hAnsi="宋体" w:cs="Arial"/>
          <w:b/>
          <w:sz w:val="20"/>
          <w:szCs w:val="21"/>
        </w:rPr>
      </w:pPr>
    </w:p>
    <w:p w14:paraId="1A125862">
      <w:pPr>
        <w:snapToGrid w:val="0"/>
        <w:spacing w:line="360" w:lineRule="auto"/>
        <w:jc w:val="center"/>
        <w:rPr>
          <w:rFonts w:ascii="宋体" w:hAnsi="宋体" w:cs="Arial"/>
          <w:b/>
          <w:sz w:val="20"/>
          <w:szCs w:val="21"/>
        </w:rPr>
      </w:pPr>
    </w:p>
    <w:p w14:paraId="1D44057D">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14:paraId="41E2404E">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w:t>
      </w:r>
      <w:r>
        <w:rPr>
          <w:rFonts w:hint="eastAsia" w:ascii="宋体" w:hAnsi="宋体"/>
          <w:b/>
          <w:sz w:val="28"/>
          <w:szCs w:val="32"/>
          <w:lang w:val="en-US" w:eastAsia="zh-CN"/>
        </w:rPr>
        <w:t>5</w:t>
      </w:r>
      <w:r>
        <w:rPr>
          <w:rFonts w:ascii="宋体" w:hAnsi="宋体"/>
          <w:b/>
          <w:sz w:val="28"/>
          <w:szCs w:val="32"/>
        </w:rPr>
        <w:t>年</w:t>
      </w:r>
      <w:r>
        <w:rPr>
          <w:rFonts w:hint="eastAsia" w:ascii="宋体" w:hAnsi="宋体"/>
          <w:b/>
          <w:sz w:val="28"/>
          <w:szCs w:val="32"/>
          <w:lang w:val="en-US" w:eastAsia="zh-CN"/>
        </w:rPr>
        <w:t>11</w:t>
      </w:r>
      <w:r>
        <w:rPr>
          <w:rFonts w:ascii="宋体" w:hAnsi="宋体"/>
          <w:b/>
          <w:sz w:val="28"/>
          <w:szCs w:val="32"/>
        </w:rPr>
        <w:t>月</w:t>
      </w:r>
    </w:p>
    <w:p w14:paraId="068AEF6E">
      <w:pPr>
        <w:pStyle w:val="3"/>
        <w:spacing w:line="360" w:lineRule="auto"/>
        <w:jc w:val="center"/>
        <w:rPr>
          <w:rFonts w:ascii="宋体" w:hAnsi="宋体" w:eastAsia="宋体" w:cs="宋体"/>
          <w:sz w:val="24"/>
          <w:szCs w:val="24"/>
        </w:rPr>
      </w:pPr>
      <w:bookmarkStart w:id="2" w:name="_Toc35393629"/>
      <w:bookmarkStart w:id="3" w:name="_Toc28359012"/>
      <w:bookmarkStart w:id="4" w:name="_Toc35393798"/>
      <w:bookmarkStart w:id="5" w:name="_Toc28359089"/>
      <w:bookmarkStart w:id="6" w:name="_Toc288738340"/>
      <w:bookmarkStart w:id="7" w:name="_Toc288738808"/>
      <w:bookmarkStart w:id="8" w:name="_Toc494470475"/>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bookmarkEnd w:id="2"/>
      <w:bookmarkEnd w:id="3"/>
      <w:bookmarkEnd w:id="4"/>
      <w:bookmarkEnd w:id="5"/>
    </w:p>
    <w:p w14:paraId="4DEB8097">
      <w:pPr>
        <w:pStyle w:val="3"/>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14:paraId="6F61A041">
      <w:pPr>
        <w:adjustRightInd w:val="0"/>
        <w:snapToGrid w:val="0"/>
        <w:spacing w:line="360" w:lineRule="auto"/>
        <w:ind w:firstLine="480" w:firstLineChars="200"/>
        <w:jc w:val="both"/>
        <w:rPr>
          <w:rFonts w:hint="default" w:ascii="宋体" w:hAnsi="宋体" w:cs="宋体"/>
          <w:color w:val="0000FF"/>
          <w:sz w:val="24"/>
          <w:lang w:val="en-US"/>
        </w:rPr>
      </w:pPr>
      <w:r>
        <w:rPr>
          <w:rFonts w:hint="eastAsia" w:ascii="宋体" w:hAnsi="宋体" w:cs="宋体"/>
          <w:color w:val="000000"/>
          <w:sz w:val="24"/>
          <w:lang w:val="en-US" w:eastAsia="zh-CN"/>
        </w:rPr>
        <w:t>项目编号：XEYSSQ20251107</w:t>
      </w:r>
    </w:p>
    <w:p w14:paraId="3F38AB11">
      <w:pPr>
        <w:spacing w:line="360" w:lineRule="auto"/>
        <w:ind w:firstLine="480" w:firstLineChars="200"/>
        <w:jc w:val="both"/>
        <w:outlineLvl w:val="0"/>
        <w:rPr>
          <w:rFonts w:hint="default" w:ascii="宋体" w:hAnsi="宋体" w:cs="宋体"/>
          <w:color w:val="000000"/>
          <w:sz w:val="24"/>
          <w:lang w:val="en-US"/>
        </w:rPr>
      </w:pPr>
      <w:r>
        <w:rPr>
          <w:rFonts w:hint="eastAsia" w:ascii="宋体" w:hAnsi="宋体" w:cs="宋体"/>
          <w:color w:val="000000"/>
          <w:sz w:val="24"/>
        </w:rPr>
        <w:t>项目名称：</w:t>
      </w:r>
      <w:r>
        <w:rPr>
          <w:rFonts w:hint="eastAsia" w:ascii="宋体" w:hAnsi="宋体" w:cs="宋体"/>
          <w:color w:val="000000"/>
          <w:sz w:val="24"/>
          <w:lang w:val="en-US" w:eastAsia="zh-CN"/>
        </w:rPr>
        <w:t>江苏理工学院网络安全服务（代码审计）项目</w:t>
      </w:r>
    </w:p>
    <w:p w14:paraId="4DCE6809">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预算金额：</w:t>
      </w:r>
      <w:r>
        <w:rPr>
          <w:rFonts w:hint="eastAsia" w:ascii="宋体" w:hAnsi="宋体" w:cs="宋体"/>
          <w:color w:val="000000"/>
          <w:sz w:val="24"/>
          <w:lang w:val="en-US" w:eastAsia="zh-CN"/>
        </w:rPr>
        <w:t>3.8</w:t>
      </w:r>
      <w:r>
        <w:rPr>
          <w:rFonts w:hint="eastAsia" w:ascii="宋体" w:hAnsi="宋体" w:cs="宋体"/>
          <w:color w:val="000000"/>
          <w:sz w:val="24"/>
        </w:rPr>
        <w:t>万</w:t>
      </w:r>
    </w:p>
    <w:p w14:paraId="34C4730F">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最高限额：</w:t>
      </w:r>
      <w:r>
        <w:rPr>
          <w:rFonts w:hint="eastAsia" w:ascii="宋体" w:hAnsi="宋体" w:cs="宋体"/>
          <w:color w:val="000000"/>
          <w:sz w:val="24"/>
          <w:lang w:val="en-US" w:eastAsia="zh-CN"/>
        </w:rPr>
        <w:t>3.8</w:t>
      </w:r>
      <w:r>
        <w:rPr>
          <w:rFonts w:hint="eastAsia" w:ascii="宋体" w:hAnsi="宋体" w:cs="宋体"/>
          <w:color w:val="000000"/>
          <w:sz w:val="24"/>
        </w:rPr>
        <w:t>万</w:t>
      </w:r>
    </w:p>
    <w:p w14:paraId="2B403682">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14:paraId="401AE4D8">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rPr>
        <w:t>服务期限：</w:t>
      </w:r>
      <w:r>
        <w:rPr>
          <w:rFonts w:hint="eastAsia" w:ascii="宋体" w:hAnsi="宋体" w:cs="宋体"/>
          <w:color w:val="000000"/>
          <w:sz w:val="24"/>
          <w:lang w:val="en-US" w:eastAsia="zh-CN"/>
        </w:rPr>
        <w:t>一年</w:t>
      </w:r>
    </w:p>
    <w:p w14:paraId="2C54D2F9">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14:paraId="760D56FE">
      <w:pPr>
        <w:pStyle w:val="3"/>
        <w:spacing w:line="360" w:lineRule="auto"/>
        <w:rPr>
          <w:rFonts w:ascii="宋体" w:hAnsi="宋体" w:eastAsia="宋体" w:cs="宋体"/>
          <w:b/>
          <w:bCs/>
          <w:color w:val="000000"/>
          <w:kern w:val="2"/>
          <w:sz w:val="24"/>
          <w:szCs w:val="24"/>
        </w:rPr>
      </w:pPr>
      <w:bookmarkStart w:id="9" w:name="_Toc35393799"/>
      <w:bookmarkStart w:id="10" w:name="_Toc35393630"/>
      <w:bookmarkStart w:id="11" w:name="_Toc28359013"/>
      <w:bookmarkStart w:id="12" w:name="_Toc28359090"/>
      <w:r>
        <w:rPr>
          <w:rFonts w:hint="eastAsia" w:ascii="宋体" w:hAnsi="宋体" w:eastAsia="宋体" w:cs="宋体"/>
          <w:b/>
          <w:bCs/>
          <w:color w:val="000000"/>
          <w:kern w:val="2"/>
          <w:sz w:val="24"/>
          <w:szCs w:val="24"/>
        </w:rPr>
        <w:t>二、申请人的资格要求：</w:t>
      </w:r>
      <w:bookmarkEnd w:id="9"/>
      <w:bookmarkEnd w:id="10"/>
      <w:bookmarkEnd w:id="11"/>
      <w:bookmarkEnd w:id="12"/>
    </w:p>
    <w:p w14:paraId="504E1D97">
      <w:pPr>
        <w:tabs>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14:paraId="53983E66">
      <w:pPr>
        <w:tabs>
          <w:tab w:val="left" w:pos="900"/>
        </w:tabs>
        <w:spacing w:line="360" w:lineRule="auto"/>
        <w:ind w:firstLine="480" w:firstLineChars="200"/>
        <w:rPr>
          <w:rFonts w:ascii="宋体" w:hAnsi="宋体" w:cs="宋体"/>
          <w:color w:val="000000"/>
          <w:sz w:val="24"/>
        </w:rPr>
      </w:pPr>
      <w:bookmarkStart w:id="13" w:name="_Toc28359091"/>
      <w:bookmarkStart w:id="14" w:name="_Toc28359014"/>
      <w:r>
        <w:rPr>
          <w:rFonts w:hint="eastAsia" w:ascii="宋体" w:hAnsi="宋体" w:cs="宋体"/>
          <w:color w:val="000000"/>
          <w:sz w:val="24"/>
        </w:rPr>
        <w:t>2.落实政府采购政策需满足的资格要求：无。</w:t>
      </w:r>
    </w:p>
    <w:p w14:paraId="7C3FD346">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14:paraId="0ED96680">
      <w:pPr>
        <w:tabs>
          <w:tab w:val="left" w:pos="900"/>
        </w:tabs>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4.本项目的特定资格要求：</w:t>
      </w:r>
      <w:bookmarkStart w:id="15" w:name="_Toc35393800"/>
      <w:bookmarkStart w:id="16" w:name="_Toc35393631"/>
      <w:r>
        <w:rPr>
          <w:rFonts w:hint="eastAsia" w:ascii="宋体" w:hAnsi="宋体" w:cs="宋体"/>
          <w:color w:val="000000" w:themeColor="text1"/>
          <w:sz w:val="24"/>
          <w:lang w:eastAsia="zh-CN"/>
          <w14:textFill>
            <w14:solidFill>
              <w14:schemeClr w14:val="tx1"/>
            </w14:solidFill>
          </w14:textFill>
        </w:rPr>
        <w:t>无</w:t>
      </w:r>
      <w:r>
        <w:rPr>
          <w:rFonts w:hint="eastAsia" w:ascii="宋体" w:hAnsi="宋体" w:cs="宋体"/>
          <w:color w:val="000000" w:themeColor="text1"/>
          <w:sz w:val="24"/>
          <w:lang w:val="en-US" w:eastAsia="zh-CN"/>
          <w14:textFill>
            <w14:solidFill>
              <w14:schemeClr w14:val="tx1"/>
            </w14:solidFill>
          </w14:textFill>
        </w:rPr>
        <w:t>。</w:t>
      </w:r>
    </w:p>
    <w:bookmarkEnd w:id="13"/>
    <w:bookmarkEnd w:id="14"/>
    <w:bookmarkEnd w:id="15"/>
    <w:bookmarkEnd w:id="16"/>
    <w:p w14:paraId="248A5A49">
      <w:pPr>
        <w:pStyle w:val="3"/>
        <w:spacing w:line="360" w:lineRule="auto"/>
        <w:rPr>
          <w:rFonts w:hint="default" w:ascii="宋体" w:hAnsi="宋体" w:eastAsia="宋体" w:cs="宋体"/>
          <w:b/>
          <w:bCs/>
          <w:color w:val="000000"/>
          <w:kern w:val="2"/>
          <w:sz w:val="24"/>
          <w:szCs w:val="24"/>
          <w:lang w:val="en-US" w:eastAsia="zh-CN"/>
        </w:rPr>
      </w:pPr>
      <w:bookmarkStart w:id="17" w:name="_Toc28359015"/>
      <w:bookmarkStart w:id="18" w:name="_Toc35393801"/>
      <w:bookmarkStart w:id="19" w:name="_Toc28359092"/>
      <w:bookmarkStart w:id="20" w:name="_Toc35393632"/>
      <w:r>
        <w:rPr>
          <w:rFonts w:hint="eastAsia" w:ascii="宋体" w:hAnsi="宋体" w:eastAsia="宋体" w:cs="宋体"/>
          <w:b/>
          <w:bCs/>
          <w:color w:val="000000"/>
          <w:kern w:val="2"/>
          <w:sz w:val="24"/>
          <w:szCs w:val="24"/>
        </w:rPr>
        <w:t>三、响应文件</w:t>
      </w:r>
      <w:bookmarkEnd w:id="17"/>
      <w:bookmarkEnd w:id="18"/>
      <w:bookmarkEnd w:id="19"/>
      <w:bookmarkEnd w:id="20"/>
      <w:r>
        <w:rPr>
          <w:rFonts w:hint="eastAsia" w:ascii="宋体" w:hAnsi="宋体" w:eastAsia="宋体" w:cs="宋体"/>
          <w:b/>
          <w:bCs/>
          <w:color w:val="000000"/>
          <w:kern w:val="2"/>
          <w:sz w:val="24"/>
          <w:szCs w:val="24"/>
        </w:rPr>
        <w:t>递交</w:t>
      </w:r>
      <w:r>
        <w:rPr>
          <w:rFonts w:hint="eastAsia" w:ascii="宋体" w:hAnsi="宋体" w:eastAsia="宋体" w:cs="宋体"/>
          <w:b/>
          <w:bCs/>
          <w:color w:val="000000"/>
          <w:kern w:val="2"/>
          <w:sz w:val="24"/>
          <w:szCs w:val="24"/>
          <w:lang w:val="en-US" w:eastAsia="zh-CN"/>
        </w:rPr>
        <w:t>截止</w:t>
      </w:r>
      <w:r>
        <w:rPr>
          <w:rFonts w:hint="eastAsia" w:ascii="宋体" w:hAnsi="宋体" w:eastAsia="宋体" w:cs="宋体"/>
          <w:b/>
          <w:bCs/>
          <w:color w:val="000000"/>
          <w:kern w:val="2"/>
          <w:sz w:val="24"/>
          <w:szCs w:val="24"/>
        </w:rPr>
        <w:t>时间</w:t>
      </w:r>
      <w:r>
        <w:rPr>
          <w:rFonts w:hint="eastAsia" w:ascii="宋体" w:hAnsi="宋体" w:eastAsia="宋体" w:cs="宋体"/>
          <w:b/>
          <w:bCs/>
          <w:color w:val="000000"/>
          <w:kern w:val="2"/>
          <w:sz w:val="24"/>
          <w:szCs w:val="24"/>
          <w:lang w:val="en-US" w:eastAsia="zh-CN"/>
        </w:rPr>
        <w:t>及开标时间</w:t>
      </w:r>
    </w:p>
    <w:p w14:paraId="37EADF0F">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rPr>
        <w:t>截止时间：</w:t>
      </w:r>
      <w:bookmarkStart w:id="21" w:name="OLE_LINK1"/>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26</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点</w:t>
      </w:r>
      <w:r>
        <w:rPr>
          <w:rFonts w:hint="eastAsia" w:ascii="宋体" w:hAnsi="宋体" w:cs="宋体"/>
          <w:color w:val="000000" w:themeColor="text1"/>
          <w:sz w:val="24"/>
          <w:highlight w:val="none"/>
          <w:lang w:val="en-US" w:eastAsia="zh-CN"/>
          <w14:textFill>
            <w14:solidFill>
              <w14:schemeClr w14:val="tx1"/>
            </w14:solidFill>
          </w14:textFill>
        </w:rPr>
        <w:t>0</w:t>
      </w:r>
      <w:r>
        <w:rPr>
          <w:rFonts w:ascii="宋体" w:hAnsi="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分（北京时间）</w:t>
      </w:r>
      <w:bookmarkEnd w:id="21"/>
    </w:p>
    <w:p w14:paraId="070B3088">
      <w:pPr>
        <w:tabs>
          <w:tab w:val="left" w:pos="900"/>
        </w:tabs>
        <w:spacing w:line="360" w:lineRule="auto"/>
        <w:ind w:firstLine="480" w:firstLineChars="200"/>
        <w:rPr>
          <w:rFonts w:hint="default" w:ascii="宋体" w:hAnsi="宋体" w:cs="宋体"/>
          <w:color w:val="000000"/>
          <w:sz w:val="24"/>
          <w:highlight w:val="none"/>
          <w:lang w:val="en-US"/>
        </w:rPr>
      </w:pPr>
      <w:r>
        <w:rPr>
          <w:rFonts w:hint="eastAsia" w:ascii="宋体" w:hAnsi="宋体" w:cs="宋体"/>
          <w:color w:val="000000"/>
          <w:sz w:val="24"/>
          <w:highlight w:val="none"/>
        </w:rPr>
        <w:t>地    点：江苏理工学院</w:t>
      </w:r>
      <w:r>
        <w:rPr>
          <w:rFonts w:hint="eastAsia" w:ascii="宋体" w:hAnsi="宋体" w:cs="宋体"/>
          <w:color w:val="000000"/>
          <w:sz w:val="24"/>
          <w:highlight w:val="none"/>
          <w:lang w:val="en-US" w:eastAsia="zh-CN"/>
        </w:rPr>
        <w:t>信息中心</w:t>
      </w:r>
    </w:p>
    <w:p w14:paraId="2FF9276C">
      <w:pPr>
        <w:tabs>
          <w:tab w:val="left" w:pos="900"/>
        </w:tabs>
        <w:spacing w:line="360" w:lineRule="auto"/>
        <w:ind w:firstLine="480" w:firstLineChars="200"/>
        <w:rPr>
          <w:rFonts w:hint="default" w:ascii="宋体" w:hAnsi="宋体" w:cs="宋体"/>
          <w:color w:val="000000"/>
          <w:sz w:val="24"/>
          <w:highlight w:val="none"/>
          <w:lang w:val="en-US" w:eastAsia="zh-CN"/>
        </w:rPr>
      </w:pPr>
      <w:r>
        <w:rPr>
          <w:rFonts w:hint="eastAsia" w:ascii="宋体" w:hAnsi="宋体" w:cs="宋体"/>
          <w:color w:val="000000"/>
          <w:sz w:val="24"/>
          <w:highlight w:val="none"/>
        </w:rPr>
        <w:t>联系人及电话：</w:t>
      </w:r>
      <w:r>
        <w:rPr>
          <w:rFonts w:hint="eastAsia" w:ascii="宋体" w:hAnsi="宋体" w:cs="宋体"/>
          <w:color w:val="000000"/>
          <w:sz w:val="24"/>
          <w:highlight w:val="none"/>
          <w:lang w:val="en-US" w:eastAsia="zh-CN"/>
        </w:rPr>
        <w:t>吕</w:t>
      </w:r>
      <w:r>
        <w:rPr>
          <w:rFonts w:hint="eastAsia" w:ascii="宋体" w:hAnsi="宋体" w:cs="宋体"/>
          <w:color w:val="000000"/>
          <w:sz w:val="24"/>
          <w:highlight w:val="none"/>
        </w:rPr>
        <w:t xml:space="preserve">老师 </w:t>
      </w:r>
      <w:r>
        <w:rPr>
          <w:rFonts w:ascii="宋体" w:hAnsi="宋体" w:cs="宋体"/>
          <w:color w:val="000000"/>
          <w:sz w:val="24"/>
          <w:highlight w:val="none"/>
        </w:rPr>
        <w:t xml:space="preserve">    0519-8695</w:t>
      </w:r>
      <w:r>
        <w:rPr>
          <w:rFonts w:hint="eastAsia" w:ascii="宋体" w:hAnsi="宋体" w:cs="宋体"/>
          <w:color w:val="000000"/>
          <w:sz w:val="24"/>
          <w:highlight w:val="none"/>
          <w:lang w:val="en-US" w:eastAsia="zh-CN"/>
        </w:rPr>
        <w:t>3568</w:t>
      </w:r>
    </w:p>
    <w:p w14:paraId="3D80C907">
      <w:pPr>
        <w:tabs>
          <w:tab w:val="left" w:pos="900"/>
        </w:tabs>
        <w:spacing w:line="360" w:lineRule="auto"/>
        <w:ind w:firstLine="480" w:firstLineChars="200"/>
        <w:rPr>
          <w:rFonts w:hint="default"/>
          <w:lang w:val="en-US" w:eastAsia="zh-CN"/>
        </w:rPr>
      </w:pPr>
      <w:r>
        <w:rPr>
          <w:rFonts w:hint="eastAsia" w:ascii="宋体" w:hAnsi="宋体" w:cs="宋体"/>
          <w:color w:val="000000"/>
          <w:sz w:val="24"/>
          <w:highlight w:val="none"/>
          <w:lang w:val="en-US" w:eastAsia="zh-CN"/>
        </w:rPr>
        <w:t>开标时间： 2025年11月26日9点30分（北京时间）</w:t>
      </w:r>
    </w:p>
    <w:p w14:paraId="01DCA79C">
      <w:pPr>
        <w:pStyle w:val="3"/>
        <w:spacing w:line="360" w:lineRule="auto"/>
        <w:rPr>
          <w:rFonts w:ascii="宋体" w:hAnsi="宋体" w:eastAsia="宋体" w:cs="宋体"/>
          <w:b/>
          <w:bCs/>
          <w:color w:val="000000"/>
          <w:kern w:val="2"/>
          <w:sz w:val="24"/>
          <w:szCs w:val="24"/>
        </w:rPr>
      </w:pPr>
      <w:bookmarkStart w:id="22" w:name="_Toc35393804"/>
      <w:bookmarkStart w:id="23" w:name="_Toc35393635"/>
      <w:r>
        <w:rPr>
          <w:rFonts w:hint="eastAsia" w:ascii="宋体" w:hAnsi="宋体" w:eastAsia="宋体" w:cs="宋体"/>
          <w:b/>
          <w:bCs/>
          <w:color w:val="000000"/>
          <w:kern w:val="2"/>
          <w:sz w:val="24"/>
          <w:szCs w:val="24"/>
        </w:rPr>
        <w:t>四、</w:t>
      </w:r>
      <w:bookmarkEnd w:id="22"/>
      <w:bookmarkEnd w:id="23"/>
      <w:r>
        <w:rPr>
          <w:rFonts w:hint="eastAsia" w:ascii="宋体" w:hAnsi="宋体" w:eastAsia="宋体" w:cs="宋体"/>
          <w:b/>
          <w:bCs/>
          <w:color w:val="000000"/>
          <w:kern w:val="2"/>
          <w:sz w:val="24"/>
          <w:szCs w:val="24"/>
        </w:rPr>
        <w:t>响应文件</w:t>
      </w:r>
    </w:p>
    <w:p w14:paraId="26EF30CD">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14:paraId="55A78545">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14:paraId="339ECA05">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14:paraId="3FBB625F">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14:paraId="5D690ADF">
      <w:pPr>
        <w:tabs>
          <w:tab w:val="left" w:pos="900"/>
        </w:tabs>
        <w:spacing w:line="360" w:lineRule="auto"/>
        <w:ind w:firstLine="723" w:firstLineChars="300"/>
        <w:rPr>
          <w:rFonts w:ascii="宋体" w:hAnsi="宋体" w:cs="宋体"/>
          <w:b/>
          <w:bCs/>
          <w:color w:val="auto"/>
          <w:sz w:val="24"/>
        </w:rPr>
      </w:pPr>
      <w:r>
        <w:rPr>
          <w:rFonts w:ascii="宋体" w:hAnsi="宋体" w:cs="宋体"/>
          <w:b/>
          <w:bCs/>
          <w:sz w:val="24"/>
        </w:rPr>
        <w:t>5</w:t>
      </w:r>
      <w:r>
        <w:rPr>
          <w:rFonts w:hint="eastAsia" w:ascii="宋体" w:hAnsi="宋体" w:cs="宋体"/>
          <w:b/>
          <w:bCs/>
          <w:sz w:val="24"/>
        </w:rPr>
        <w:t xml:space="preserve">. </w:t>
      </w:r>
      <w:r>
        <w:rPr>
          <w:rFonts w:hint="eastAsia" w:ascii="宋体" w:hAnsi="宋体" w:cs="宋体"/>
          <w:b/>
          <w:bCs/>
          <w:color w:val="auto"/>
          <w:sz w:val="24"/>
        </w:rPr>
        <w:t>报价表。（附件二）</w:t>
      </w:r>
    </w:p>
    <w:p w14:paraId="3E1DBCEC">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分项报价表。（附件三）</w:t>
      </w:r>
    </w:p>
    <w:p w14:paraId="5DB4F04D">
      <w:pPr>
        <w:pStyle w:val="5"/>
        <w:rPr>
          <w:rFonts w:ascii="宋体" w:hAnsi="宋体" w:cs="宋体"/>
          <w:color w:val="000000"/>
          <w:sz w:val="24"/>
        </w:rPr>
      </w:pPr>
      <w:r>
        <w:rPr>
          <w:rFonts w:hint="eastAsia" w:ascii="宋体" w:hAnsi="宋体" w:cs="宋体"/>
          <w:b/>
          <w:bCs/>
          <w:sz w:val="24"/>
          <w:lang w:val="en-US" w:eastAsia="zh-CN"/>
        </w:rPr>
        <w:t xml:space="preserve">     </w:t>
      </w:r>
      <w:r>
        <w:rPr>
          <w:rFonts w:hint="eastAsia" w:ascii="宋体" w:hAnsi="宋体" w:eastAsia="宋体" w:cs="宋体"/>
          <w:b/>
          <w:bCs/>
          <w:sz w:val="24"/>
          <w:lang w:val="en-US" w:eastAsia="zh-CN"/>
        </w:rPr>
        <w:t xml:space="preserve"> </w:t>
      </w:r>
      <w:r>
        <w:rPr>
          <w:rFonts w:hint="eastAsia" w:ascii="宋体" w:hAnsi="宋体" w:eastAsia="宋体" w:cs="宋体"/>
          <w:color w:val="000000"/>
          <w:sz w:val="24"/>
          <w:lang w:val="en-US" w:eastAsia="zh-CN"/>
        </w:rPr>
        <w:t>投标</w:t>
      </w:r>
      <w:r>
        <w:rPr>
          <w:rFonts w:hint="eastAsia" w:ascii="宋体" w:hAnsi="宋体" w:eastAsia="宋体" w:cs="宋体"/>
          <w:color w:val="000000"/>
          <w:sz w:val="24"/>
        </w:rPr>
        <w:t>文件</w:t>
      </w:r>
      <w:r>
        <w:rPr>
          <w:rFonts w:hint="eastAsia" w:ascii="宋体" w:hAnsi="宋体" w:eastAsia="宋体" w:cs="宋体"/>
          <w:b/>
          <w:bCs/>
          <w:color w:val="000000"/>
          <w:sz w:val="24"/>
        </w:rPr>
        <w:t>一式贰份</w:t>
      </w:r>
      <w:r>
        <w:rPr>
          <w:rFonts w:hint="eastAsia" w:ascii="宋体" w:hAnsi="宋体" w:eastAsia="宋体" w:cs="宋体"/>
          <w:color w:val="000000"/>
          <w:sz w:val="24"/>
        </w:rPr>
        <w:t>，不论供应商</w:t>
      </w:r>
      <w:r>
        <w:rPr>
          <w:rFonts w:hint="eastAsia" w:ascii="宋体" w:hAnsi="宋体" w:eastAsia="宋体" w:cs="宋体"/>
          <w:color w:val="000000"/>
          <w:sz w:val="24"/>
          <w:lang w:val="en-US" w:eastAsia="zh-CN"/>
        </w:rPr>
        <w:t>中标</w:t>
      </w:r>
      <w:r>
        <w:rPr>
          <w:rFonts w:hint="eastAsia" w:ascii="宋体" w:hAnsi="宋体" w:eastAsia="宋体" w:cs="宋体"/>
          <w:color w:val="000000"/>
          <w:sz w:val="24"/>
        </w:rPr>
        <w:t>与否，响应文件均不退回</w:t>
      </w:r>
      <w:r>
        <w:rPr>
          <w:rFonts w:hint="eastAsia" w:ascii="宋体" w:hAnsi="宋体" w:eastAsia="宋体" w:cs="宋体"/>
          <w:color w:val="000000"/>
          <w:sz w:val="24"/>
          <w:lang w:eastAsia="zh-CN"/>
        </w:rPr>
        <w:t>；</w:t>
      </w:r>
      <w:r>
        <w:rPr>
          <w:rFonts w:hint="eastAsia" w:ascii="宋体" w:hAnsi="宋体" w:eastAsia="宋体" w:cs="宋体"/>
          <w:b/>
          <w:color w:val="000000"/>
          <w:sz w:val="24"/>
        </w:rPr>
        <w:t>以上所有材料均须加盖公章</w:t>
      </w:r>
      <w:r>
        <w:rPr>
          <w:rFonts w:hint="eastAsia" w:ascii="宋体" w:hAnsi="宋体" w:eastAsia="宋体" w:cs="宋体"/>
          <w:b/>
          <w:color w:val="000000"/>
          <w:sz w:val="24"/>
          <w:lang w:eastAsia="zh-CN"/>
        </w:rPr>
        <w:t>；</w:t>
      </w:r>
      <w:r>
        <w:rPr>
          <w:rFonts w:hint="eastAsia" w:ascii="宋体" w:hAnsi="宋体" w:eastAsia="宋体" w:cs="宋体"/>
          <w:b w:val="0"/>
          <w:bCs/>
          <w:color w:val="000000"/>
          <w:sz w:val="24"/>
          <w:lang w:val="en-US" w:eastAsia="zh-CN"/>
        </w:rPr>
        <w:t>所有材料递交时必须密封并在封口处加盖骑缝章，否则视为无效响应。</w:t>
      </w:r>
      <w:r>
        <w:rPr>
          <w:rFonts w:hint="eastAsia" w:ascii="宋体" w:hAnsi="宋体" w:eastAsia="宋体" w:cs="宋体"/>
          <w:b/>
          <w:color w:val="000000"/>
          <w:sz w:val="24"/>
          <w:lang w:val="en-US" w:eastAsia="zh-CN"/>
        </w:rPr>
        <w:t>（凡递交投标文件则视为完全响应采购人所有需求）</w:t>
      </w:r>
    </w:p>
    <w:p w14:paraId="2E48760C">
      <w:pPr>
        <w:pStyle w:val="3"/>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14:paraId="101FD3B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文件需要进行澄清或有异议的供应商，均应在</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：00前按文件中的通讯地址，</w:t>
      </w:r>
      <w:r>
        <w:rPr>
          <w:rFonts w:hint="eastAsia" w:ascii="宋体" w:hAnsi="宋体" w:cs="宋体"/>
          <w:color w:val="000000"/>
          <w:sz w:val="24"/>
        </w:rPr>
        <w:t>以书面形式并加盖公章递交采购人，否则视为无有效澄清或无异议。</w:t>
      </w:r>
    </w:p>
    <w:p w14:paraId="4D2EAF3D">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w:t>
      </w:r>
      <w:r>
        <w:rPr>
          <w:rFonts w:hint="eastAsia" w:ascii="宋体" w:hAnsi="宋体" w:cs="宋体"/>
          <w:color w:val="000000"/>
          <w:sz w:val="24"/>
          <w:lang w:val="en-US" w:eastAsia="zh-CN"/>
        </w:rPr>
        <w:t>招标</w:t>
      </w:r>
      <w:r>
        <w:rPr>
          <w:rFonts w:hint="eastAsia" w:ascii="宋体" w:hAnsi="宋体" w:cs="宋体"/>
          <w:color w:val="000000"/>
          <w:sz w:val="24"/>
        </w:rPr>
        <w:t>的事项若存在变动或修改，采购人将通过公告形式发布，因未能及时了解相关最新信息所引起的报价失误责任由供应商自负。</w:t>
      </w:r>
    </w:p>
    <w:p w14:paraId="0968652E">
      <w:pPr>
        <w:pStyle w:val="3"/>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14:paraId="317C3F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w:t>
      </w:r>
      <w:r>
        <w:rPr>
          <w:rFonts w:hint="default" w:ascii="宋体" w:hAnsi="宋体" w:eastAsia="宋体" w:cs="宋体"/>
          <w:b/>
          <w:bCs/>
          <w:color w:val="000000"/>
          <w:kern w:val="2"/>
          <w:sz w:val="24"/>
          <w:szCs w:val="24"/>
          <w:lang w:val="en-US" w:eastAsia="zh-CN" w:bidi="ar-SA"/>
        </w:rPr>
        <w:t>对本项目提出询问，请按以下方式联系。</w:t>
      </w:r>
    </w:p>
    <w:p w14:paraId="4FE2AB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eastAsia="宋体" w:cs="Arial"/>
          <w:i w:val="0"/>
          <w:iCs w:val="0"/>
          <w:caps w:val="0"/>
          <w:color w:val="333333"/>
          <w:spacing w:val="0"/>
          <w:sz w:val="21"/>
          <w:szCs w:val="21"/>
        </w:rPr>
      </w:pPr>
      <w:r>
        <w:rPr>
          <w:rFonts w:hint="eastAsia" w:ascii="宋体" w:hAnsi="宋体" w:eastAsia="宋体" w:cs="宋体"/>
          <w:b/>
          <w:bCs/>
          <w:color w:val="000000"/>
          <w:kern w:val="2"/>
          <w:sz w:val="24"/>
          <w:szCs w:val="24"/>
          <w:lang w:val="en-US" w:eastAsia="zh-CN" w:bidi="ar-SA"/>
        </w:rPr>
        <w:t>采购人信息</w:t>
      </w:r>
    </w:p>
    <w:p w14:paraId="6DA346A4">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名</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称：江苏理工学院</w:t>
      </w:r>
    </w:p>
    <w:p w14:paraId="1D7A625D">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地</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址：常州市钟楼区中吴大道1</w:t>
      </w:r>
      <w:r>
        <w:rPr>
          <w:rFonts w:hint="default" w:ascii="宋体" w:hAnsi="宋体" w:eastAsia="宋体" w:cs="宋体"/>
          <w:color w:val="000000"/>
          <w:sz w:val="24"/>
          <w:lang w:val="en-US" w:eastAsia="zh-CN"/>
        </w:rPr>
        <w:t>801号</w:t>
      </w:r>
    </w:p>
    <w:p w14:paraId="2A6B3286">
      <w:pPr>
        <w:tabs>
          <w:tab w:val="left" w:pos="900"/>
        </w:tabs>
        <w:spacing w:line="360" w:lineRule="auto"/>
        <w:ind w:firstLine="480" w:firstLineChars="200"/>
        <w:rPr>
          <w:rFonts w:hint="default" w:ascii="宋体" w:hAnsi="宋体" w:eastAsia="宋体" w:cs="宋体"/>
          <w:color w:val="000000"/>
          <w:sz w:val="24"/>
        </w:rPr>
      </w:pPr>
      <w:r>
        <w:rPr>
          <w:rFonts w:hint="default" w:ascii="宋体" w:hAnsi="宋体" w:eastAsia="宋体" w:cs="宋体"/>
          <w:color w:val="000000"/>
          <w:sz w:val="24"/>
          <w:lang w:val="en-US" w:eastAsia="zh-CN"/>
        </w:rPr>
        <w:t>采购联系人：</w:t>
      </w:r>
      <w:r>
        <w:rPr>
          <w:rFonts w:hint="eastAsia" w:ascii="宋体" w:hAnsi="宋体" w:cs="宋体"/>
          <w:color w:val="000000"/>
          <w:sz w:val="24"/>
          <w:lang w:val="en-US" w:eastAsia="zh-CN"/>
        </w:rPr>
        <w:t>吕</w:t>
      </w:r>
      <w:r>
        <w:rPr>
          <w:rFonts w:hint="eastAsia" w:ascii="宋体" w:hAnsi="宋体" w:eastAsia="宋体" w:cs="宋体"/>
          <w:color w:val="000000"/>
          <w:sz w:val="24"/>
          <w:lang w:val="en-US" w:eastAsia="zh-CN"/>
        </w:rPr>
        <w:t>老师</w:t>
      </w:r>
      <w:r>
        <w:rPr>
          <w:rFonts w:hint="default" w:ascii="宋体" w:hAnsi="宋体" w:eastAsia="宋体" w:cs="宋体"/>
          <w:color w:val="000000"/>
          <w:sz w:val="24"/>
          <w:lang w:val="en-US" w:eastAsia="zh-CN"/>
        </w:rPr>
        <w:t>  </w:t>
      </w:r>
    </w:p>
    <w:p w14:paraId="0EF453EA">
      <w:pPr>
        <w:tabs>
          <w:tab w:val="left" w:pos="900"/>
        </w:tabs>
        <w:spacing w:line="360" w:lineRule="auto"/>
        <w:ind w:firstLine="480" w:firstLineChars="200"/>
        <w:rPr>
          <w:rFonts w:hint="default" w:ascii="宋体" w:hAnsi="宋体" w:eastAsia="宋体" w:cs="宋体"/>
          <w:color w:val="000000"/>
          <w:sz w:val="24"/>
          <w:lang w:val="en-US"/>
        </w:rPr>
      </w:pPr>
      <w:r>
        <w:rPr>
          <w:rFonts w:hint="default" w:ascii="宋体" w:hAnsi="宋体" w:eastAsia="宋体" w:cs="宋体"/>
          <w:color w:val="000000"/>
          <w:sz w:val="24"/>
          <w:lang w:val="en-US" w:eastAsia="zh-CN"/>
        </w:rPr>
        <w:t>电</w:t>
      </w:r>
      <w:r>
        <w:rPr>
          <w:rFonts w:hint="eastAsia" w:ascii="宋体" w:hAnsi="宋体" w:cs="宋体"/>
          <w:color w:val="000000"/>
          <w:sz w:val="24"/>
          <w:lang w:val="en-US" w:eastAsia="zh-CN"/>
        </w:rPr>
        <w:t xml:space="preserve">      </w:t>
      </w:r>
      <w:r>
        <w:rPr>
          <w:rFonts w:hint="default" w:ascii="宋体" w:hAnsi="宋体" w:eastAsia="宋体" w:cs="宋体"/>
          <w:color w:val="000000"/>
          <w:sz w:val="24"/>
          <w:lang w:val="en-US" w:eastAsia="zh-CN"/>
        </w:rPr>
        <w:t>话：0519-8695</w:t>
      </w:r>
      <w:r>
        <w:rPr>
          <w:rFonts w:hint="eastAsia" w:ascii="宋体" w:hAnsi="宋体" w:cs="宋体"/>
          <w:color w:val="000000"/>
          <w:sz w:val="24"/>
          <w:lang w:val="en-US" w:eastAsia="zh-CN"/>
        </w:rPr>
        <w:t>3568</w:t>
      </w:r>
    </w:p>
    <w:p w14:paraId="7F276604">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r>
        <w:rPr>
          <w:rFonts w:hint="eastAsia" w:ascii="宋体" w:hAnsi="宋体" w:cs="宋体"/>
          <w:b/>
          <w:bCs/>
          <w:color w:val="000000"/>
          <w:sz w:val="28"/>
          <w:szCs w:val="28"/>
          <w:lang w:val="en-US" w:eastAsia="zh-CN"/>
        </w:rPr>
        <w:t>投标</w:t>
      </w:r>
      <w:r>
        <w:rPr>
          <w:rFonts w:hint="eastAsia" w:ascii="宋体" w:hAnsi="宋体" w:cs="宋体"/>
          <w:b/>
          <w:bCs/>
          <w:color w:val="000000"/>
          <w:sz w:val="28"/>
          <w:szCs w:val="28"/>
        </w:rPr>
        <w:t>报价</w:t>
      </w:r>
      <w:bookmarkEnd w:id="6"/>
      <w:bookmarkEnd w:id="7"/>
      <w:bookmarkEnd w:id="8"/>
    </w:p>
    <w:p w14:paraId="7DD946B4">
      <w:pPr>
        <w:tabs>
          <w:tab w:val="left" w:pos="900"/>
        </w:tabs>
        <w:spacing w:line="360" w:lineRule="auto"/>
        <w:ind w:firstLine="482" w:firstLineChars="200"/>
        <w:rPr>
          <w:rFonts w:ascii="宋体" w:hAnsi="宋体" w:cs="宋体"/>
          <w:b/>
          <w:bCs/>
          <w:color w:val="000000"/>
          <w:sz w:val="24"/>
        </w:rPr>
      </w:pPr>
      <w:bookmarkStart w:id="24" w:name="_Toc288738341"/>
      <w:bookmarkStart w:id="25" w:name="_Toc288738415"/>
      <w:bookmarkStart w:id="26" w:name="_Toc288738809"/>
      <w:r>
        <w:rPr>
          <w:rFonts w:hint="eastAsia" w:ascii="宋体" w:hAnsi="宋体" w:cs="宋体"/>
          <w:b/>
          <w:bCs/>
          <w:color w:val="000000"/>
          <w:sz w:val="24"/>
        </w:rPr>
        <w:t>一、报价须知</w:t>
      </w:r>
    </w:p>
    <w:p w14:paraId="6CEBD86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4"/>
      <w:bookmarkEnd w:id="25"/>
      <w:bookmarkEnd w:id="26"/>
    </w:p>
    <w:p w14:paraId="277AA442">
      <w:pPr>
        <w:tabs>
          <w:tab w:val="left" w:pos="900"/>
        </w:tabs>
        <w:spacing w:line="360" w:lineRule="auto"/>
        <w:ind w:firstLine="482" w:firstLineChars="200"/>
        <w:rPr>
          <w:rFonts w:ascii="宋体" w:hAnsi="宋体" w:cs="宋体"/>
          <w:b/>
          <w:bCs/>
          <w:color w:val="000000"/>
          <w:sz w:val="24"/>
        </w:rPr>
      </w:pPr>
      <w:bookmarkStart w:id="27" w:name="_Toc288738810"/>
      <w:bookmarkStart w:id="28" w:name="_Toc288738416"/>
      <w:bookmarkStart w:id="29" w:name="_Toc288738342"/>
      <w:r>
        <w:rPr>
          <w:rFonts w:hint="eastAsia" w:ascii="宋体" w:hAnsi="宋体" w:cs="宋体"/>
          <w:b/>
          <w:bCs/>
          <w:color w:val="000000"/>
          <w:sz w:val="24"/>
        </w:rPr>
        <w:t>二、采购报价方式</w:t>
      </w:r>
      <w:bookmarkEnd w:id="27"/>
      <w:bookmarkEnd w:id="28"/>
      <w:bookmarkEnd w:id="29"/>
    </w:p>
    <w:p w14:paraId="644E4851">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14:paraId="044636CC">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14:paraId="40C852A4">
      <w:pPr>
        <w:tabs>
          <w:tab w:val="left" w:pos="900"/>
        </w:tabs>
        <w:spacing w:line="360" w:lineRule="auto"/>
        <w:ind w:firstLine="560" w:firstLineChars="200"/>
        <w:rPr>
          <w:rFonts w:ascii="仿宋" w:hAnsi="仿宋" w:eastAsia="仿宋"/>
          <w:color w:val="000000"/>
          <w:sz w:val="28"/>
          <w:szCs w:val="28"/>
        </w:rPr>
      </w:pPr>
    </w:p>
    <w:p w14:paraId="6F0888C5">
      <w:pPr>
        <w:pStyle w:val="19"/>
        <w:rPr>
          <w:rFonts w:ascii="宋体" w:hAnsi="宋体" w:cs="宋体"/>
          <w:sz w:val="24"/>
        </w:rPr>
      </w:pPr>
    </w:p>
    <w:p w14:paraId="7C6154AE">
      <w:pPr>
        <w:pStyle w:val="19"/>
        <w:rPr>
          <w:rFonts w:ascii="宋体" w:hAnsi="宋体" w:cs="宋体"/>
          <w:sz w:val="24"/>
        </w:rPr>
      </w:pPr>
    </w:p>
    <w:p w14:paraId="06765DE1">
      <w:pPr>
        <w:snapToGrid w:val="0"/>
        <w:spacing w:line="360" w:lineRule="auto"/>
        <w:ind w:firstLine="480" w:firstLineChars="200"/>
        <w:rPr>
          <w:rFonts w:ascii="宋体" w:hAnsi="宋体" w:cs="宋体"/>
          <w:sz w:val="24"/>
        </w:rPr>
      </w:pPr>
    </w:p>
    <w:p w14:paraId="4F63152E">
      <w:pPr>
        <w:snapToGrid w:val="0"/>
        <w:spacing w:line="360" w:lineRule="auto"/>
        <w:ind w:firstLine="480" w:firstLineChars="200"/>
        <w:rPr>
          <w:rFonts w:ascii="宋体" w:hAnsi="宋体" w:cs="宋体"/>
          <w:sz w:val="24"/>
        </w:rPr>
      </w:pPr>
    </w:p>
    <w:p w14:paraId="6FBB46B7">
      <w:pPr>
        <w:snapToGrid w:val="0"/>
        <w:spacing w:line="360" w:lineRule="auto"/>
        <w:ind w:firstLine="480" w:firstLineChars="200"/>
        <w:rPr>
          <w:rFonts w:ascii="宋体" w:hAnsi="宋体" w:cs="宋体"/>
          <w:sz w:val="24"/>
        </w:rPr>
      </w:pPr>
    </w:p>
    <w:p w14:paraId="3CCF992A">
      <w:pPr>
        <w:snapToGrid w:val="0"/>
        <w:spacing w:line="360" w:lineRule="auto"/>
        <w:ind w:firstLine="480" w:firstLineChars="200"/>
        <w:rPr>
          <w:rFonts w:ascii="宋体" w:hAnsi="宋体" w:cs="宋体"/>
          <w:sz w:val="24"/>
        </w:rPr>
      </w:pPr>
    </w:p>
    <w:p w14:paraId="46A24416">
      <w:pPr>
        <w:snapToGrid w:val="0"/>
        <w:spacing w:line="360" w:lineRule="auto"/>
        <w:ind w:firstLine="480" w:firstLineChars="200"/>
        <w:rPr>
          <w:rFonts w:ascii="宋体" w:hAnsi="宋体" w:cs="宋体"/>
          <w:sz w:val="24"/>
        </w:rPr>
      </w:pPr>
    </w:p>
    <w:p w14:paraId="5951917B">
      <w:pPr>
        <w:snapToGrid w:val="0"/>
        <w:spacing w:line="360" w:lineRule="auto"/>
        <w:ind w:firstLine="480" w:firstLineChars="200"/>
        <w:rPr>
          <w:rFonts w:ascii="宋体" w:hAnsi="宋体" w:cs="宋体"/>
          <w:sz w:val="24"/>
        </w:rPr>
      </w:pPr>
    </w:p>
    <w:p w14:paraId="17ABAB5C">
      <w:pPr>
        <w:snapToGrid w:val="0"/>
        <w:spacing w:line="360" w:lineRule="auto"/>
        <w:ind w:firstLine="480" w:firstLineChars="200"/>
        <w:rPr>
          <w:rFonts w:ascii="宋体" w:hAnsi="宋体" w:cs="宋体"/>
          <w:sz w:val="24"/>
        </w:rPr>
      </w:pPr>
    </w:p>
    <w:p w14:paraId="3122C7FB">
      <w:pPr>
        <w:snapToGrid w:val="0"/>
        <w:spacing w:line="360" w:lineRule="auto"/>
        <w:ind w:firstLine="480" w:firstLineChars="200"/>
        <w:rPr>
          <w:rFonts w:ascii="宋体" w:hAnsi="宋体" w:cs="宋体"/>
          <w:sz w:val="24"/>
        </w:rPr>
      </w:pPr>
    </w:p>
    <w:p w14:paraId="5D89F00A">
      <w:pPr>
        <w:pStyle w:val="59"/>
        <w:rPr>
          <w:rFonts w:hAnsi="宋体"/>
        </w:rPr>
      </w:pPr>
    </w:p>
    <w:p w14:paraId="13666E39">
      <w:pPr>
        <w:pStyle w:val="59"/>
        <w:rPr>
          <w:rFonts w:hAnsi="宋体"/>
        </w:rPr>
      </w:pPr>
    </w:p>
    <w:p w14:paraId="73537029">
      <w:pPr>
        <w:snapToGrid w:val="0"/>
        <w:spacing w:line="360" w:lineRule="auto"/>
        <w:ind w:firstLine="480" w:firstLineChars="200"/>
        <w:rPr>
          <w:rFonts w:ascii="宋体" w:hAnsi="宋体" w:cs="宋体"/>
          <w:sz w:val="24"/>
        </w:rPr>
      </w:pPr>
    </w:p>
    <w:bookmarkEnd w:id="0"/>
    <w:bookmarkEnd w:id="1"/>
    <w:p w14:paraId="25A11EED">
      <w:pPr>
        <w:spacing w:line="500" w:lineRule="exact"/>
        <w:jc w:val="left"/>
        <w:rPr>
          <w:rFonts w:ascii="宋体" w:hAnsi="宋体" w:cs="宋体"/>
          <w:bCs/>
          <w:sz w:val="24"/>
        </w:rPr>
      </w:pPr>
    </w:p>
    <w:p w14:paraId="6285D1F6">
      <w:pPr>
        <w:pStyle w:val="59"/>
        <w:rPr>
          <w:rFonts w:hAnsi="宋体"/>
          <w:bCs/>
        </w:rPr>
      </w:pPr>
    </w:p>
    <w:p w14:paraId="37B02552">
      <w:pPr>
        <w:pStyle w:val="59"/>
        <w:rPr>
          <w:rFonts w:hAnsi="宋体"/>
          <w:bCs/>
        </w:rPr>
      </w:pPr>
    </w:p>
    <w:p w14:paraId="3B95EA4D">
      <w:pPr>
        <w:pStyle w:val="59"/>
        <w:rPr>
          <w:rFonts w:hAnsi="宋体"/>
          <w:bCs/>
        </w:rPr>
      </w:pPr>
    </w:p>
    <w:p w14:paraId="3C9F9808">
      <w:pPr>
        <w:pStyle w:val="59"/>
        <w:rPr>
          <w:rFonts w:hAnsi="宋体"/>
          <w:bCs/>
        </w:rPr>
      </w:pPr>
    </w:p>
    <w:p w14:paraId="3BA9EFD1">
      <w:pPr>
        <w:pStyle w:val="59"/>
        <w:rPr>
          <w:rFonts w:hAnsi="宋体"/>
          <w:bCs/>
        </w:rPr>
      </w:pPr>
    </w:p>
    <w:p w14:paraId="7C687755">
      <w:pPr>
        <w:pStyle w:val="59"/>
        <w:rPr>
          <w:rFonts w:hAnsi="宋体"/>
          <w:bCs/>
        </w:rPr>
      </w:pPr>
    </w:p>
    <w:p w14:paraId="1D420097">
      <w:pPr>
        <w:pStyle w:val="59"/>
        <w:rPr>
          <w:rFonts w:hAnsi="宋体"/>
          <w:bCs/>
        </w:rPr>
      </w:pPr>
    </w:p>
    <w:p w14:paraId="59E5B284">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14:paraId="1F6C362C">
      <w:pPr>
        <w:numPr>
          <w:ilvl w:val="0"/>
          <w:numId w:val="1"/>
        </w:numPr>
        <w:spacing w:line="360" w:lineRule="auto"/>
        <w:ind w:firstLine="482" w:firstLineChars="200"/>
        <w:contextualSpacing/>
        <w:rPr>
          <w:rFonts w:hint="eastAsia" w:ascii="等线" w:hAnsi="等线" w:cs="等线"/>
          <w:b/>
          <w:bCs/>
          <w:sz w:val="24"/>
        </w:rPr>
      </w:pPr>
      <w:r>
        <w:rPr>
          <w:rFonts w:hint="eastAsia" w:asciiTheme="minorEastAsia" w:hAnsiTheme="minorEastAsia" w:eastAsiaTheme="minorEastAsia" w:cstheme="minorEastAsia"/>
          <w:b/>
          <w:bCs w:val="0"/>
          <w:sz w:val="24"/>
          <w:lang w:val="en-US" w:eastAsia="zh-CN"/>
        </w:rPr>
        <w:t>采购内容</w:t>
      </w:r>
    </w:p>
    <w:p w14:paraId="179BF84A">
      <w:pPr>
        <w:pStyle w:val="59"/>
        <w:ind w:left="420" w:leftChars="0" w:firstLine="420" w:firstLineChars="0"/>
        <w:rPr>
          <w:rFonts w:hint="eastAsia"/>
        </w:rPr>
      </w:pPr>
      <w:r>
        <w:rPr>
          <w:rFonts w:hint="eastAsia"/>
          <w:lang w:val="en-US" w:eastAsia="zh-CN"/>
        </w:rPr>
        <w:t>江苏理工学院</w:t>
      </w:r>
      <w:r>
        <w:rPr>
          <w:rFonts w:hint="eastAsia"/>
        </w:rPr>
        <w:t>网络安全服务（代码审计）</w:t>
      </w:r>
    </w:p>
    <w:p w14:paraId="21DFD067">
      <w:pPr>
        <w:numPr>
          <w:ilvl w:val="0"/>
          <w:numId w:val="1"/>
        </w:numPr>
        <w:spacing w:line="440" w:lineRule="exact"/>
        <w:ind w:left="0" w:leftChars="0" w:firstLine="482" w:firstLineChars="200"/>
        <w:rPr>
          <w:rFonts w:hint="eastAsia" w:ascii="等线" w:hAnsi="等线" w:cs="等线"/>
          <w:b/>
          <w:bCs/>
          <w:sz w:val="24"/>
        </w:rPr>
      </w:pPr>
      <w:r>
        <w:rPr>
          <w:rFonts w:hint="eastAsia" w:ascii="等线" w:hAnsi="等线" w:cs="等线"/>
          <w:b/>
          <w:bCs/>
          <w:sz w:val="24"/>
        </w:rPr>
        <w:t>服务要求：</w:t>
      </w:r>
    </w:p>
    <w:p w14:paraId="3B92373C">
      <w:pPr>
        <w:pStyle w:val="3"/>
        <w:keepNext w:val="0"/>
        <w:keepLines w:val="0"/>
        <w:pageBreakBefore w:val="0"/>
        <w:widowControl/>
        <w:tabs>
          <w:tab w:val="clear" w:pos="0"/>
        </w:tabs>
        <w:kinsoku/>
        <w:wordWrap/>
        <w:overflowPunct/>
        <w:topLinePunct w:val="0"/>
        <w:autoSpaceDE/>
        <w:autoSpaceDN/>
        <w:bidi w:val="0"/>
        <w:adjustRightInd/>
        <w:snapToGrid/>
        <w:spacing w:line="360" w:lineRule="exact"/>
        <w:ind w:left="416" w:leftChars="198" w:firstLine="3" w:firstLineChars="0"/>
        <w:textAlignment w:val="auto"/>
        <w:rPr>
          <w:rFonts w:hint="eastAsia" w:ascii="宋体" w:hAnsi="宋体" w:eastAsia="宋体" w:cs="宋体"/>
        </w:rPr>
      </w:pPr>
      <w:r>
        <w:rPr>
          <w:rFonts w:hint="eastAsia" w:ascii="宋体" w:hAnsi="宋体" w:eastAsia="宋体" w:cs="宋体"/>
        </w:rPr>
        <w:t>文档目的</w:t>
      </w:r>
    </w:p>
    <w:p w14:paraId="6AFFD5BB">
      <w:pPr>
        <w:pStyle w:val="323"/>
        <w:keepNext w:val="0"/>
        <w:keepLines w:val="0"/>
        <w:pageBreakBefore w:val="0"/>
        <w:widowControl/>
        <w:kinsoku/>
        <w:wordWrap/>
        <w:overflowPunct/>
        <w:topLinePunct w:val="0"/>
        <w:autoSpaceDE/>
        <w:autoSpaceDN/>
        <w:bidi w:val="0"/>
        <w:adjustRightInd/>
        <w:snapToGrid/>
        <w:spacing w:line="320" w:lineRule="exact"/>
        <w:ind w:left="416" w:leftChars="198" w:firstLine="440" w:firstLineChars="200"/>
        <w:textAlignment w:val="auto"/>
        <w:rPr>
          <w:rFonts w:hint="eastAsia" w:ascii="宋体" w:hAnsi="宋体" w:eastAsia="宋体" w:cs="宋体"/>
        </w:rPr>
      </w:pPr>
      <w:r>
        <w:rPr>
          <w:rFonts w:hint="eastAsia" w:ascii="宋体" w:hAnsi="宋体" w:eastAsia="宋体" w:cs="宋体"/>
        </w:rPr>
        <w:t>为规范江苏理工学院各类业务系统上线前的代码安全管理，明确代码审计服务的范围、标准、流程及交付成果，防范因代码漏洞导致的系统安全风险（如数据泄露、功能异常、恶意攻击等），保障教学、科研、管理等核心业务稳定运行，特制定本需求文档。本文档可作为信息中心选择审计服务供应商、开展审计工作及验收审计成果的依据。</w:t>
      </w:r>
    </w:p>
    <w:p w14:paraId="767A63C3">
      <w:pPr>
        <w:pStyle w:val="3"/>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审计范围</w:t>
      </w:r>
    </w:p>
    <w:p w14:paraId="11635625">
      <w:pPr>
        <w:pStyle w:val="323"/>
        <w:keepNext w:val="0"/>
        <w:keepLines w:val="0"/>
        <w:pageBreakBefore w:val="0"/>
        <w:widowControl/>
        <w:kinsoku/>
        <w:wordWrap/>
        <w:overflowPunct/>
        <w:topLinePunct w:val="0"/>
        <w:autoSpaceDE/>
        <w:autoSpaceDN/>
        <w:bidi w:val="0"/>
        <w:adjustRightInd/>
        <w:snapToGrid/>
        <w:spacing w:line="320" w:lineRule="exact"/>
        <w:ind w:left="416" w:leftChars="198" w:firstLine="440" w:firstLineChars="200"/>
        <w:textAlignment w:val="auto"/>
        <w:rPr>
          <w:rFonts w:hint="eastAsia" w:ascii="宋体" w:hAnsi="宋体" w:eastAsia="宋体" w:cs="宋体"/>
        </w:rPr>
      </w:pPr>
      <w:r>
        <w:rPr>
          <w:rFonts w:hint="eastAsia" w:ascii="宋体" w:hAnsi="宋体" w:eastAsia="宋体" w:cs="宋体"/>
        </w:rPr>
        <w:t>本次代码审计覆盖学校信息中心规划上线的各类业务系统，具体包括但不限于以下场景：</w:t>
      </w:r>
    </w:p>
    <w:p w14:paraId="39E3A1B1">
      <w:pPr>
        <w:pStyle w:val="323"/>
        <w:keepNext w:val="0"/>
        <w:keepLines w:val="0"/>
        <w:pageBreakBefore w:val="0"/>
        <w:widowControl/>
        <w:numPr>
          <w:ilvl w:val="0"/>
          <w:numId w:val="2"/>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b/>
          <w:bCs/>
        </w:rPr>
        <w:t>系统类型</w:t>
      </w:r>
    </w:p>
    <w:p w14:paraId="4217AE21">
      <w:pPr>
        <w:pStyle w:val="323"/>
        <w:keepNext w:val="0"/>
        <w:keepLines w:val="0"/>
        <w:pageBreakBefore w:val="0"/>
        <w:widowControl/>
        <w:numPr>
          <w:ilvl w:val="0"/>
          <w:numId w:val="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教学管理类：如教务管理系统、在线课程平台、实验教学管理系统等；</w:t>
      </w:r>
    </w:p>
    <w:p w14:paraId="47104C75">
      <w:pPr>
        <w:pStyle w:val="323"/>
        <w:keepNext w:val="0"/>
        <w:keepLines w:val="0"/>
        <w:pageBreakBefore w:val="0"/>
        <w:widowControl/>
        <w:numPr>
          <w:ilvl w:val="0"/>
          <w:numId w:val="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科研管理类：如科研项目申报系统、成果管理系统、科研经费核算系统等；</w:t>
      </w:r>
    </w:p>
    <w:p w14:paraId="297A73A4">
      <w:pPr>
        <w:pStyle w:val="323"/>
        <w:keepNext w:val="0"/>
        <w:keepLines w:val="0"/>
        <w:pageBreakBefore w:val="0"/>
        <w:widowControl/>
        <w:numPr>
          <w:ilvl w:val="0"/>
          <w:numId w:val="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学生管理类：如学生信息管理系统、迎新系统、就业指导系统等；</w:t>
      </w:r>
    </w:p>
    <w:p w14:paraId="1227EE43">
      <w:pPr>
        <w:pStyle w:val="323"/>
        <w:keepNext w:val="0"/>
        <w:keepLines w:val="0"/>
        <w:pageBreakBefore w:val="0"/>
        <w:widowControl/>
        <w:numPr>
          <w:ilvl w:val="0"/>
          <w:numId w:val="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办公管理类：如 OA 协同办公系统、财务管理系统、固定资产管理系统等；</w:t>
      </w:r>
    </w:p>
    <w:p w14:paraId="2F0439D6">
      <w:pPr>
        <w:pStyle w:val="323"/>
        <w:keepNext w:val="0"/>
        <w:keepLines w:val="0"/>
        <w:pageBreakBefore w:val="0"/>
        <w:widowControl/>
        <w:numPr>
          <w:ilvl w:val="0"/>
          <w:numId w:val="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公共服务类：如校园统一身份认证系统、校园门户、一卡通关联系统</w:t>
      </w:r>
      <w:r>
        <w:rPr>
          <w:rFonts w:hint="eastAsia" w:ascii="宋体" w:hAnsi="宋体" w:eastAsia="宋体" w:cs="宋体"/>
          <w:lang w:eastAsia="zh-CN"/>
        </w:rPr>
        <w:t>、</w:t>
      </w:r>
      <w:r>
        <w:rPr>
          <w:rFonts w:hint="eastAsia" w:ascii="宋体" w:hAnsi="宋体" w:eastAsia="宋体" w:cs="宋体"/>
          <w:lang w:val="en-US" w:eastAsia="zh-CN"/>
        </w:rPr>
        <w:t>低代码平台</w:t>
      </w:r>
      <w:r>
        <w:rPr>
          <w:rFonts w:hint="eastAsia" w:ascii="宋体" w:hAnsi="宋体" w:eastAsia="宋体" w:cs="宋体"/>
        </w:rPr>
        <w:t>等。</w:t>
      </w:r>
    </w:p>
    <w:p w14:paraId="661B7B23">
      <w:pPr>
        <w:pStyle w:val="323"/>
        <w:keepNext w:val="0"/>
        <w:keepLines w:val="0"/>
        <w:pageBreakBefore w:val="0"/>
        <w:widowControl/>
        <w:numPr>
          <w:ilvl w:val="0"/>
          <w:numId w:val="2"/>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b/>
          <w:bCs/>
        </w:rPr>
      </w:pPr>
      <w:r>
        <w:rPr>
          <w:rFonts w:hint="eastAsia" w:ascii="宋体" w:hAnsi="宋体" w:eastAsia="宋体" w:cs="宋体"/>
          <w:b/>
          <w:bCs/>
        </w:rPr>
        <w:t>代码范围</w:t>
      </w:r>
    </w:p>
    <w:p w14:paraId="612A7238">
      <w:pPr>
        <w:pStyle w:val="323"/>
        <w:keepNext w:val="0"/>
        <w:keepLines w:val="0"/>
        <w:pageBreakBefore w:val="0"/>
        <w:widowControl/>
        <w:numPr>
          <w:ilvl w:val="0"/>
          <w:numId w:val="4"/>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核心业务模块代码：包含用户认证、权限控制、数据查询与存储、业务逻辑处理等关键模块；</w:t>
      </w:r>
    </w:p>
    <w:p w14:paraId="024F594F">
      <w:pPr>
        <w:pStyle w:val="323"/>
        <w:keepNext w:val="0"/>
        <w:keepLines w:val="0"/>
        <w:pageBreakBefore w:val="0"/>
        <w:widowControl/>
        <w:numPr>
          <w:ilvl w:val="0"/>
          <w:numId w:val="4"/>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第三方组件 / 插件代码：系统集成的开源框架（如 Spring、MyBatis）、第三方 SDK（如支付接口、短信接口）及插件；</w:t>
      </w:r>
    </w:p>
    <w:p w14:paraId="40A888BE">
      <w:pPr>
        <w:pStyle w:val="323"/>
        <w:keepNext w:val="0"/>
        <w:keepLines w:val="0"/>
        <w:pageBreakBefore w:val="0"/>
        <w:widowControl/>
        <w:numPr>
          <w:ilvl w:val="0"/>
          <w:numId w:val="4"/>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前后端交互代码：前端页面（Vue、React 等框架）与后端接口（API）的交互逻辑、数据传输加密代码；</w:t>
      </w:r>
    </w:p>
    <w:p w14:paraId="22C5604D">
      <w:pPr>
        <w:pStyle w:val="323"/>
        <w:keepNext w:val="0"/>
        <w:keepLines w:val="0"/>
        <w:pageBreakBefore w:val="0"/>
        <w:widowControl/>
        <w:numPr>
          <w:ilvl w:val="0"/>
          <w:numId w:val="4"/>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数据库操作代码：SQL 语句编写、数据库连接池配置、数据脱敏与备份相关代码。</w:t>
      </w:r>
    </w:p>
    <w:p w14:paraId="220973EC">
      <w:pPr>
        <w:pStyle w:val="323"/>
        <w:keepNext w:val="0"/>
        <w:keepLines w:val="0"/>
        <w:pageBreakBefore w:val="0"/>
        <w:widowControl/>
        <w:numPr>
          <w:ilvl w:val="0"/>
          <w:numId w:val="2"/>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b/>
          <w:bCs/>
        </w:rPr>
      </w:pPr>
      <w:r>
        <w:rPr>
          <w:rFonts w:hint="eastAsia" w:ascii="宋体" w:hAnsi="宋体" w:eastAsia="宋体" w:cs="宋体"/>
          <w:b/>
          <w:bCs/>
        </w:rPr>
        <w:t>开发语言与技术栈</w:t>
      </w:r>
    </w:p>
    <w:p w14:paraId="25192919">
      <w:pPr>
        <w:pStyle w:val="323"/>
        <w:keepNext w:val="0"/>
        <w:keepLines w:val="0"/>
        <w:pageBreakBefore w:val="0"/>
        <w:widowControl/>
        <w:numPr>
          <w:ilvl w:val="0"/>
          <w:numId w:val="5"/>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后端语言：Java、Python、PHP、C# 等；</w:t>
      </w:r>
    </w:p>
    <w:p w14:paraId="36C5BD32">
      <w:pPr>
        <w:pStyle w:val="323"/>
        <w:keepNext w:val="0"/>
        <w:keepLines w:val="0"/>
        <w:pageBreakBefore w:val="0"/>
        <w:widowControl/>
        <w:numPr>
          <w:ilvl w:val="0"/>
          <w:numId w:val="5"/>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前端语言：JavaScript、HTML5、CSS3 等；</w:t>
      </w:r>
    </w:p>
    <w:p w14:paraId="2BA59680">
      <w:pPr>
        <w:pStyle w:val="323"/>
        <w:keepNext w:val="0"/>
        <w:keepLines w:val="0"/>
        <w:pageBreakBefore w:val="0"/>
        <w:widowControl/>
        <w:numPr>
          <w:ilvl w:val="0"/>
          <w:numId w:val="5"/>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数据库：MySQL、Oracle、SQL Server、PostgreSQL 等；</w:t>
      </w:r>
    </w:p>
    <w:p w14:paraId="29888104">
      <w:pPr>
        <w:pStyle w:val="323"/>
        <w:keepNext w:val="0"/>
        <w:keepLines w:val="0"/>
        <w:pageBreakBefore w:val="0"/>
        <w:widowControl/>
        <w:numPr>
          <w:ilvl w:val="0"/>
          <w:numId w:val="5"/>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框架与中间件：Spring Boot、Django、Laravel、Nginx、Tomcat 等。</w:t>
      </w:r>
    </w:p>
    <w:p w14:paraId="36B46DC9">
      <w:pPr>
        <w:pStyle w:val="3"/>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审计依据与标准</w:t>
      </w:r>
    </w:p>
    <w:p w14:paraId="023C8838">
      <w:pPr>
        <w:pStyle w:val="323"/>
        <w:keepNext w:val="0"/>
        <w:keepLines w:val="0"/>
        <w:pageBreakBefore w:val="0"/>
        <w:widowControl/>
        <w:kinsoku/>
        <w:wordWrap/>
        <w:overflowPunct/>
        <w:topLinePunct w:val="0"/>
        <w:autoSpaceDE/>
        <w:autoSpaceDN/>
        <w:bidi w:val="0"/>
        <w:adjustRightInd/>
        <w:snapToGrid/>
        <w:spacing w:line="320" w:lineRule="exact"/>
        <w:ind w:left="416" w:leftChars="198" w:firstLine="440" w:firstLineChars="200"/>
        <w:textAlignment w:val="auto"/>
        <w:rPr>
          <w:rFonts w:hint="eastAsia" w:ascii="宋体" w:hAnsi="宋体" w:eastAsia="宋体" w:cs="宋体"/>
        </w:rPr>
      </w:pPr>
      <w:r>
        <w:rPr>
          <w:rFonts w:hint="eastAsia" w:ascii="宋体" w:hAnsi="宋体" w:eastAsia="宋体" w:cs="宋体"/>
        </w:rPr>
        <w:t>代码审计工作需严格遵循国家法律法规、教育行业规范及信息安全标准，具体依据包括但不限于：</w:t>
      </w:r>
    </w:p>
    <w:p w14:paraId="0169CA80">
      <w:pPr>
        <w:pStyle w:val="323"/>
        <w:keepNext w:val="0"/>
        <w:keepLines w:val="0"/>
        <w:pageBreakBefore w:val="0"/>
        <w:widowControl/>
        <w:numPr>
          <w:ilvl w:val="0"/>
          <w:numId w:val="6"/>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b/>
          <w:bCs/>
        </w:rPr>
        <w:t>国家法律法规</w:t>
      </w:r>
    </w:p>
    <w:p w14:paraId="7EE50BF9">
      <w:pPr>
        <w:pStyle w:val="323"/>
        <w:keepNext w:val="0"/>
        <w:keepLines w:val="0"/>
        <w:pageBreakBefore w:val="0"/>
        <w:widowControl/>
        <w:numPr>
          <w:ilvl w:val="0"/>
          <w:numId w:val="7"/>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《中华人民共和国网络安全法》</w:t>
      </w:r>
    </w:p>
    <w:p w14:paraId="5C295A25">
      <w:pPr>
        <w:pStyle w:val="323"/>
        <w:keepNext w:val="0"/>
        <w:keepLines w:val="0"/>
        <w:pageBreakBefore w:val="0"/>
        <w:widowControl/>
        <w:numPr>
          <w:ilvl w:val="0"/>
          <w:numId w:val="7"/>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《中华人民共和国数据安全法》</w:t>
      </w:r>
    </w:p>
    <w:p w14:paraId="5BB71144">
      <w:pPr>
        <w:pStyle w:val="323"/>
        <w:keepNext w:val="0"/>
        <w:keepLines w:val="0"/>
        <w:pageBreakBefore w:val="0"/>
        <w:widowControl/>
        <w:numPr>
          <w:ilvl w:val="0"/>
          <w:numId w:val="7"/>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《中华人民共和国个人信息保护法》</w:t>
      </w:r>
    </w:p>
    <w:p w14:paraId="1FFAEDFA">
      <w:pPr>
        <w:pStyle w:val="323"/>
        <w:keepNext w:val="0"/>
        <w:keepLines w:val="0"/>
        <w:pageBreakBefore w:val="0"/>
        <w:widowControl/>
        <w:numPr>
          <w:ilvl w:val="0"/>
          <w:numId w:val="7"/>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《网络安全等级保护基本要求》（GB/T 22239-2019）</w:t>
      </w:r>
    </w:p>
    <w:p w14:paraId="4049023B">
      <w:pPr>
        <w:pStyle w:val="323"/>
        <w:keepNext w:val="0"/>
        <w:keepLines w:val="0"/>
        <w:pageBreakBefore w:val="0"/>
        <w:widowControl/>
        <w:numPr>
          <w:ilvl w:val="0"/>
          <w:numId w:val="6"/>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b/>
          <w:bCs/>
        </w:rPr>
      </w:pPr>
      <w:r>
        <w:rPr>
          <w:rFonts w:hint="eastAsia" w:ascii="宋体" w:hAnsi="宋体" w:eastAsia="宋体" w:cs="宋体"/>
          <w:b/>
          <w:bCs/>
        </w:rPr>
        <w:t>教育行业规范</w:t>
      </w:r>
    </w:p>
    <w:p w14:paraId="5C853A0C">
      <w:pPr>
        <w:pStyle w:val="323"/>
        <w:keepNext w:val="0"/>
        <w:keepLines w:val="0"/>
        <w:pageBreakBefore w:val="0"/>
        <w:widowControl/>
        <w:numPr>
          <w:ilvl w:val="0"/>
          <w:numId w:val="8"/>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《教育行业信息系统安全等级保护定级指南》</w:t>
      </w:r>
    </w:p>
    <w:p w14:paraId="15B6F375">
      <w:pPr>
        <w:pStyle w:val="323"/>
        <w:keepNext w:val="0"/>
        <w:keepLines w:val="0"/>
        <w:pageBreakBefore w:val="0"/>
        <w:widowControl/>
        <w:numPr>
          <w:ilvl w:val="0"/>
          <w:numId w:val="6"/>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b/>
          <w:bCs/>
        </w:rPr>
      </w:pPr>
      <w:r>
        <w:rPr>
          <w:rFonts w:hint="eastAsia" w:ascii="宋体" w:hAnsi="宋体" w:eastAsia="宋体" w:cs="宋体"/>
          <w:b/>
          <w:bCs/>
        </w:rPr>
        <w:t>技术标准</w:t>
      </w:r>
    </w:p>
    <w:p w14:paraId="24A1D604">
      <w:pPr>
        <w:pStyle w:val="323"/>
        <w:keepNext w:val="0"/>
        <w:keepLines w:val="0"/>
        <w:pageBreakBefore w:val="0"/>
        <w:widowControl/>
        <w:numPr>
          <w:ilvl w:val="0"/>
          <w:numId w:val="9"/>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OWASP Top 10（Web 应用程序安全风险 Top 10）</w:t>
      </w:r>
    </w:p>
    <w:p w14:paraId="7BF59AFA">
      <w:pPr>
        <w:pStyle w:val="323"/>
        <w:keepNext w:val="0"/>
        <w:keepLines w:val="0"/>
        <w:pageBreakBefore w:val="0"/>
        <w:widowControl/>
        <w:numPr>
          <w:ilvl w:val="0"/>
          <w:numId w:val="9"/>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CWE（常见弱点枚举）清单</w:t>
      </w:r>
    </w:p>
    <w:p w14:paraId="08671DF1">
      <w:pPr>
        <w:pStyle w:val="323"/>
        <w:keepNext w:val="0"/>
        <w:keepLines w:val="0"/>
        <w:pageBreakBefore w:val="0"/>
        <w:widowControl/>
        <w:numPr>
          <w:ilvl w:val="0"/>
          <w:numId w:val="9"/>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ISO/IEC 27001 信息安全管理体系标准</w:t>
      </w:r>
    </w:p>
    <w:p w14:paraId="327D35BD">
      <w:pPr>
        <w:pStyle w:val="323"/>
        <w:keepNext w:val="0"/>
        <w:keepLines w:val="0"/>
        <w:pageBreakBefore w:val="0"/>
        <w:widowControl/>
        <w:numPr>
          <w:ilvl w:val="0"/>
          <w:numId w:val="9"/>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江苏理工学院数据安全分类分级管理标准</w:t>
      </w:r>
      <w:r>
        <w:rPr>
          <w:rFonts w:hint="eastAsia" w:ascii="宋体" w:hAnsi="宋体" w:eastAsia="宋体" w:cs="宋体"/>
          <w:lang w:eastAsia="zh-CN"/>
        </w:rPr>
        <w:t>》</w:t>
      </w:r>
    </w:p>
    <w:p w14:paraId="3F83E786">
      <w:pPr>
        <w:pStyle w:val="3"/>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p>
    <w:p w14:paraId="68B4E967">
      <w:pPr>
        <w:pStyle w:val="3"/>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审计服务核心需求</w:t>
      </w:r>
    </w:p>
    <w:p w14:paraId="21CB9DB1">
      <w:pPr>
        <w:pStyle w:val="4"/>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（一）审计内容要求</w:t>
      </w:r>
    </w:p>
    <w:p w14:paraId="46462432">
      <w:pPr>
        <w:pStyle w:val="323"/>
        <w:keepNext w:val="0"/>
        <w:keepLines w:val="0"/>
        <w:pageBreakBefore w:val="0"/>
        <w:widowControl/>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审计服务需全面覆盖代码安全风险点，重点关注以下维度：</w:t>
      </w:r>
    </w:p>
    <w:p w14:paraId="56F0C705">
      <w:pPr>
        <w:pStyle w:val="323"/>
        <w:keepNext w:val="0"/>
        <w:keepLines w:val="0"/>
        <w:pageBreakBefore w:val="0"/>
        <w:widowControl/>
        <w:numPr>
          <w:ilvl w:val="0"/>
          <w:numId w:val="10"/>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b/>
          <w:bCs/>
        </w:rPr>
        <w:t>安全漏洞检测</w:t>
      </w:r>
    </w:p>
    <w:p w14:paraId="7F6B3B09">
      <w:pPr>
        <w:pStyle w:val="323"/>
        <w:keepNext w:val="0"/>
        <w:keepLines w:val="0"/>
        <w:pageBreakBefore w:val="0"/>
        <w:widowControl/>
        <w:numPr>
          <w:ilvl w:val="0"/>
          <w:numId w:val="11"/>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注入漏洞：SQL 注入、命令注入、XSS（跨站脚本）注入、CSRF（跨站请求伪造）等；</w:t>
      </w:r>
    </w:p>
    <w:p w14:paraId="17CA3DDA">
      <w:pPr>
        <w:pStyle w:val="323"/>
        <w:keepNext w:val="0"/>
        <w:keepLines w:val="0"/>
        <w:pageBreakBefore w:val="0"/>
        <w:widowControl/>
        <w:numPr>
          <w:ilvl w:val="0"/>
          <w:numId w:val="11"/>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权限控制漏洞：越权访问（水平越权、垂直越权）、默认密码 / 弱口令、会话管理失效（如 Session 劫持）等；</w:t>
      </w:r>
    </w:p>
    <w:p w14:paraId="45FAE58C">
      <w:pPr>
        <w:pStyle w:val="323"/>
        <w:keepNext w:val="0"/>
        <w:keepLines w:val="0"/>
        <w:pageBreakBefore w:val="0"/>
        <w:widowControl/>
        <w:numPr>
          <w:ilvl w:val="0"/>
          <w:numId w:val="11"/>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数据安全漏洞：敏感数据明文存储（如学生身份证号、教职工薪资）、数据传输未加密、备份数据未脱敏等；</w:t>
      </w:r>
    </w:p>
    <w:p w14:paraId="2B0A923C">
      <w:pPr>
        <w:pStyle w:val="323"/>
        <w:keepNext w:val="0"/>
        <w:keepLines w:val="0"/>
        <w:pageBreakBefore w:val="0"/>
        <w:widowControl/>
        <w:numPr>
          <w:ilvl w:val="0"/>
          <w:numId w:val="11"/>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代码质量漏洞：空指针异常、数组越界、内存泄漏、死循环等导致系统崩溃的问题</w:t>
      </w:r>
      <w:r>
        <w:rPr>
          <w:rFonts w:hint="eastAsia" w:ascii="宋体" w:hAnsi="宋体" w:eastAsia="宋体" w:cs="宋体"/>
          <w:lang w:eastAsia="zh-CN"/>
        </w:rPr>
        <w:t>。</w:t>
      </w:r>
    </w:p>
    <w:p w14:paraId="68C825E0">
      <w:pPr>
        <w:pStyle w:val="4"/>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（二）审计报告要求</w:t>
      </w:r>
    </w:p>
    <w:p w14:paraId="22C999E4">
      <w:pPr>
        <w:pStyle w:val="323"/>
        <w:keepNext w:val="0"/>
        <w:keepLines w:val="0"/>
        <w:pageBreakBefore w:val="0"/>
        <w:widowControl/>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《代码审计报告》需结构清晰、内容详实，具备可操作性，具体要求如下：</w:t>
      </w:r>
    </w:p>
    <w:p w14:paraId="5798CB14">
      <w:pPr>
        <w:pStyle w:val="323"/>
        <w:keepNext w:val="0"/>
        <w:keepLines w:val="0"/>
        <w:pageBreakBefore w:val="0"/>
        <w:widowControl/>
        <w:numPr>
          <w:ilvl w:val="0"/>
          <w:numId w:val="12"/>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b/>
          <w:bCs/>
        </w:rPr>
        <w:t>报告结构</w:t>
      </w:r>
    </w:p>
    <w:p w14:paraId="58F210E5">
      <w:pPr>
        <w:pStyle w:val="323"/>
        <w:keepNext w:val="0"/>
        <w:keepLines w:val="0"/>
        <w:pageBreakBefore w:val="0"/>
        <w:widowControl/>
        <w:numPr>
          <w:ilvl w:val="0"/>
          <w:numId w:val="1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封面：包含报告名称、审计系统名称、审计周期、编制单位、审批签字栏；</w:t>
      </w:r>
    </w:p>
    <w:p w14:paraId="3C583475">
      <w:pPr>
        <w:pStyle w:val="323"/>
        <w:keepNext w:val="0"/>
        <w:keepLines w:val="0"/>
        <w:pageBreakBefore w:val="0"/>
        <w:widowControl/>
        <w:numPr>
          <w:ilvl w:val="0"/>
          <w:numId w:val="1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目录：明确各章节页码，便于快速查阅；</w:t>
      </w:r>
    </w:p>
    <w:p w14:paraId="1FECE7B8">
      <w:pPr>
        <w:pStyle w:val="323"/>
        <w:keepNext w:val="0"/>
        <w:keepLines w:val="0"/>
        <w:pageBreakBefore w:val="0"/>
        <w:widowControl/>
        <w:numPr>
          <w:ilvl w:val="0"/>
          <w:numId w:val="1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审计概述：说明审计目的、范围、依据、参与人员及时间安排；</w:t>
      </w:r>
    </w:p>
    <w:p w14:paraId="0527F631">
      <w:pPr>
        <w:pStyle w:val="323"/>
        <w:keepNext w:val="0"/>
        <w:keepLines w:val="0"/>
        <w:pageBreakBefore w:val="0"/>
        <w:widowControl/>
        <w:numPr>
          <w:ilvl w:val="0"/>
          <w:numId w:val="1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系统概况：简要介绍被审计系统的功能、技术架构、开发语言、核心模块；</w:t>
      </w:r>
    </w:p>
    <w:p w14:paraId="495CB93C">
      <w:pPr>
        <w:pStyle w:val="323"/>
        <w:keepNext w:val="0"/>
        <w:keepLines w:val="0"/>
        <w:pageBreakBefore w:val="0"/>
        <w:widowControl/>
        <w:numPr>
          <w:ilvl w:val="0"/>
          <w:numId w:val="1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审计结果总览：以图表形式展示漏洞统计（如按风险等级分布、按漏洞类型分布）</w:t>
      </w:r>
      <w:r>
        <w:rPr>
          <w:rFonts w:hint="eastAsia" w:ascii="宋体" w:hAnsi="宋体" w:eastAsia="宋体" w:cs="宋体"/>
          <w:lang w:eastAsia="zh-CN"/>
        </w:rPr>
        <w:t>；</w:t>
      </w:r>
    </w:p>
    <w:p w14:paraId="211FB2ED">
      <w:pPr>
        <w:pStyle w:val="323"/>
        <w:keepNext w:val="0"/>
        <w:keepLines w:val="0"/>
        <w:pageBreakBefore w:val="0"/>
        <w:widowControl/>
        <w:numPr>
          <w:ilvl w:val="0"/>
          <w:numId w:val="13"/>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漏洞详情：按 “高危→中危→低危” 顺序排列，每个漏洞需包含以下信息：</w:t>
      </w:r>
    </w:p>
    <w:p w14:paraId="4BCDEBB3">
      <w:pPr>
        <w:pStyle w:val="323"/>
        <w:keepNext w:val="0"/>
        <w:keepLines w:val="0"/>
        <w:pageBreakBefore w:val="0"/>
        <w:widowControl/>
        <w:numPr>
          <w:ilvl w:val="0"/>
          <w:numId w:val="14"/>
        </w:numPr>
        <w:tabs>
          <w:tab w:val="left" w:pos="420"/>
          <w:tab w:val="clear" w:pos="840"/>
        </w:tabs>
        <w:kinsoku/>
        <w:wordWrap/>
        <w:overflowPunct/>
        <w:topLinePunct w:val="0"/>
        <w:autoSpaceDE/>
        <w:autoSpaceDN/>
        <w:bidi w:val="0"/>
        <w:adjustRightInd/>
        <w:snapToGrid/>
        <w:spacing w:line="320" w:lineRule="exact"/>
        <w:ind w:left="836" w:leftChars="0" w:firstLine="3" w:firstLineChars="0"/>
        <w:textAlignment w:val="auto"/>
        <w:rPr>
          <w:rFonts w:hint="eastAsia" w:ascii="宋体" w:hAnsi="宋体" w:eastAsia="宋体" w:cs="宋体"/>
        </w:rPr>
      </w:pPr>
      <w:r>
        <w:rPr>
          <w:rFonts w:hint="eastAsia" w:ascii="宋体" w:hAnsi="宋体" w:eastAsia="宋体" w:cs="宋体"/>
        </w:rPr>
        <w:t>漏洞编号：唯一标识（如 JSUT-AUDIT-2025-001）；</w:t>
      </w:r>
    </w:p>
    <w:p w14:paraId="7270E39A">
      <w:pPr>
        <w:pStyle w:val="323"/>
        <w:keepNext w:val="0"/>
        <w:keepLines w:val="0"/>
        <w:pageBreakBefore w:val="0"/>
        <w:widowControl/>
        <w:numPr>
          <w:ilvl w:val="0"/>
          <w:numId w:val="14"/>
        </w:numPr>
        <w:tabs>
          <w:tab w:val="left" w:pos="420"/>
          <w:tab w:val="clear" w:pos="840"/>
        </w:tabs>
        <w:kinsoku/>
        <w:wordWrap/>
        <w:overflowPunct/>
        <w:topLinePunct w:val="0"/>
        <w:autoSpaceDE/>
        <w:autoSpaceDN/>
        <w:bidi w:val="0"/>
        <w:adjustRightInd/>
        <w:snapToGrid/>
        <w:spacing w:line="320" w:lineRule="exact"/>
        <w:ind w:left="836" w:leftChars="0" w:firstLine="3" w:firstLineChars="0"/>
        <w:textAlignment w:val="auto"/>
        <w:rPr>
          <w:rFonts w:hint="eastAsia" w:ascii="宋体" w:hAnsi="宋体" w:eastAsia="宋体" w:cs="宋体"/>
        </w:rPr>
      </w:pPr>
      <w:r>
        <w:rPr>
          <w:rFonts w:hint="eastAsia" w:ascii="宋体" w:hAnsi="宋体" w:eastAsia="宋体" w:cs="宋体"/>
        </w:rPr>
        <w:t>漏洞描述：说明漏洞的具体表现、触发条件；</w:t>
      </w:r>
    </w:p>
    <w:p w14:paraId="0205E853">
      <w:pPr>
        <w:pStyle w:val="323"/>
        <w:keepNext w:val="0"/>
        <w:keepLines w:val="0"/>
        <w:pageBreakBefore w:val="0"/>
        <w:widowControl/>
        <w:numPr>
          <w:ilvl w:val="0"/>
          <w:numId w:val="14"/>
        </w:numPr>
        <w:tabs>
          <w:tab w:val="left" w:pos="420"/>
          <w:tab w:val="clear" w:pos="840"/>
        </w:tabs>
        <w:kinsoku/>
        <w:wordWrap/>
        <w:overflowPunct/>
        <w:topLinePunct w:val="0"/>
        <w:autoSpaceDE/>
        <w:autoSpaceDN/>
        <w:bidi w:val="0"/>
        <w:adjustRightInd/>
        <w:snapToGrid/>
        <w:spacing w:line="320" w:lineRule="exact"/>
        <w:ind w:left="836" w:leftChars="0" w:firstLine="3" w:firstLineChars="0"/>
        <w:textAlignment w:val="auto"/>
        <w:rPr>
          <w:rFonts w:hint="eastAsia" w:ascii="宋体" w:hAnsi="宋体" w:eastAsia="宋体" w:cs="宋体"/>
        </w:rPr>
      </w:pPr>
      <w:r>
        <w:rPr>
          <w:rFonts w:hint="eastAsia" w:ascii="宋体" w:hAnsi="宋体" w:eastAsia="宋体" w:cs="宋体"/>
        </w:rPr>
        <w:t>风险等级：依据漏洞影响范围（如是否导致数据泄露、系统崩溃）分为高危、中危、低危；</w:t>
      </w:r>
    </w:p>
    <w:p w14:paraId="5CBE6FB2">
      <w:pPr>
        <w:pStyle w:val="323"/>
        <w:keepNext w:val="0"/>
        <w:keepLines w:val="0"/>
        <w:pageBreakBefore w:val="0"/>
        <w:widowControl/>
        <w:numPr>
          <w:ilvl w:val="0"/>
          <w:numId w:val="14"/>
        </w:numPr>
        <w:tabs>
          <w:tab w:val="left" w:pos="420"/>
          <w:tab w:val="clear" w:pos="840"/>
        </w:tabs>
        <w:kinsoku/>
        <w:wordWrap/>
        <w:overflowPunct/>
        <w:topLinePunct w:val="0"/>
        <w:autoSpaceDE/>
        <w:autoSpaceDN/>
        <w:bidi w:val="0"/>
        <w:adjustRightInd/>
        <w:snapToGrid/>
        <w:spacing w:line="320" w:lineRule="exact"/>
        <w:ind w:left="836" w:leftChars="0" w:firstLine="3" w:firstLineChars="0"/>
        <w:textAlignment w:val="auto"/>
        <w:rPr>
          <w:rFonts w:hint="eastAsia" w:ascii="宋体" w:hAnsi="宋体" w:eastAsia="宋体" w:cs="宋体"/>
        </w:rPr>
      </w:pPr>
      <w:r>
        <w:rPr>
          <w:rFonts w:hint="eastAsia" w:ascii="宋体" w:hAnsi="宋体" w:eastAsia="宋体" w:cs="宋体"/>
        </w:rPr>
        <w:t>影响模块：明确漏洞所在的系统模块（如 “教务管理系统 - 成绩录入模块”）；</w:t>
      </w:r>
    </w:p>
    <w:p w14:paraId="70104948">
      <w:pPr>
        <w:pStyle w:val="323"/>
        <w:keepNext w:val="0"/>
        <w:keepLines w:val="0"/>
        <w:pageBreakBefore w:val="0"/>
        <w:widowControl/>
        <w:numPr>
          <w:ilvl w:val="0"/>
          <w:numId w:val="14"/>
        </w:numPr>
        <w:tabs>
          <w:tab w:val="left" w:pos="420"/>
          <w:tab w:val="clear" w:pos="840"/>
        </w:tabs>
        <w:kinsoku/>
        <w:wordWrap/>
        <w:overflowPunct/>
        <w:topLinePunct w:val="0"/>
        <w:autoSpaceDE/>
        <w:autoSpaceDN/>
        <w:bidi w:val="0"/>
        <w:adjustRightInd/>
        <w:snapToGrid/>
        <w:spacing w:line="320" w:lineRule="exact"/>
        <w:ind w:left="836" w:leftChars="0" w:firstLine="3" w:firstLineChars="0"/>
        <w:textAlignment w:val="auto"/>
        <w:rPr>
          <w:rFonts w:hint="eastAsia" w:ascii="宋体" w:hAnsi="宋体" w:eastAsia="宋体" w:cs="宋体"/>
        </w:rPr>
      </w:pPr>
      <w:r>
        <w:rPr>
          <w:rFonts w:hint="eastAsia" w:ascii="宋体" w:hAnsi="宋体" w:eastAsia="宋体" w:cs="宋体"/>
        </w:rPr>
        <w:t>复现步骤：详细描述漏洞复现的操作流程，附截图 / 视频链接；</w:t>
      </w:r>
    </w:p>
    <w:p w14:paraId="56FF90EE">
      <w:pPr>
        <w:pStyle w:val="323"/>
        <w:keepNext w:val="0"/>
        <w:keepLines w:val="0"/>
        <w:pageBreakBefore w:val="0"/>
        <w:widowControl/>
        <w:numPr>
          <w:ilvl w:val="0"/>
          <w:numId w:val="14"/>
        </w:numPr>
        <w:tabs>
          <w:tab w:val="left" w:pos="420"/>
          <w:tab w:val="clear" w:pos="840"/>
        </w:tabs>
        <w:kinsoku/>
        <w:wordWrap/>
        <w:overflowPunct/>
        <w:topLinePunct w:val="0"/>
        <w:autoSpaceDE/>
        <w:autoSpaceDN/>
        <w:bidi w:val="0"/>
        <w:adjustRightInd/>
        <w:snapToGrid/>
        <w:spacing w:line="320" w:lineRule="exact"/>
        <w:ind w:left="836" w:leftChars="0" w:firstLine="3" w:firstLineChars="0"/>
        <w:textAlignment w:val="auto"/>
        <w:rPr>
          <w:rFonts w:hint="eastAsia" w:ascii="宋体" w:hAnsi="宋体" w:eastAsia="宋体" w:cs="宋体"/>
        </w:rPr>
      </w:pPr>
      <w:r>
        <w:rPr>
          <w:rFonts w:hint="eastAsia" w:ascii="宋体" w:hAnsi="宋体" w:eastAsia="宋体" w:cs="宋体"/>
        </w:rPr>
        <w:t>整改建议：提供具体、可落地的修复方案（如代码修改示例、配置调整步骤）；</w:t>
      </w:r>
    </w:p>
    <w:p w14:paraId="687DBF94">
      <w:pPr>
        <w:pStyle w:val="323"/>
        <w:keepNext w:val="0"/>
        <w:keepLines w:val="0"/>
        <w:pageBreakBefore w:val="0"/>
        <w:widowControl/>
        <w:numPr>
          <w:ilvl w:val="0"/>
          <w:numId w:val="14"/>
        </w:numPr>
        <w:tabs>
          <w:tab w:val="left" w:pos="420"/>
          <w:tab w:val="clear" w:pos="840"/>
        </w:tabs>
        <w:kinsoku/>
        <w:wordWrap/>
        <w:overflowPunct/>
        <w:topLinePunct w:val="0"/>
        <w:autoSpaceDE/>
        <w:autoSpaceDN/>
        <w:bidi w:val="0"/>
        <w:adjustRightInd/>
        <w:snapToGrid/>
        <w:spacing w:line="320" w:lineRule="exact"/>
        <w:ind w:left="836" w:leftChars="0" w:firstLine="3" w:firstLineChars="0"/>
        <w:textAlignment w:val="auto"/>
        <w:rPr>
          <w:rFonts w:hint="eastAsia" w:ascii="宋体" w:hAnsi="宋体" w:eastAsia="宋体" w:cs="宋体"/>
        </w:rPr>
      </w:pPr>
      <w:r>
        <w:rPr>
          <w:rFonts w:hint="eastAsia" w:ascii="宋体" w:hAnsi="宋体" w:eastAsia="宋体" w:cs="宋体"/>
        </w:rPr>
        <w:t>验证结果：标注漏洞是否已验证（“已验证”“未验证”）。</w:t>
      </w:r>
    </w:p>
    <w:p w14:paraId="6A5AC505">
      <w:pPr>
        <w:pStyle w:val="323"/>
        <w:keepNext w:val="0"/>
        <w:keepLines w:val="0"/>
        <w:pageBreakBefore w:val="0"/>
        <w:widowControl/>
        <w:numPr>
          <w:ilvl w:val="0"/>
          <w:numId w:val="15"/>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审计结论：明确被审计系统是否满足上线条件，若不满足，列出需整改完成后才能上线的 “一票否决” 漏洞（如高危漏洞）；</w:t>
      </w:r>
    </w:p>
    <w:p w14:paraId="574E15AF">
      <w:pPr>
        <w:pStyle w:val="323"/>
        <w:keepNext w:val="0"/>
        <w:keepLines w:val="0"/>
        <w:pageBreakBefore w:val="0"/>
        <w:widowControl/>
        <w:numPr>
          <w:ilvl w:val="0"/>
          <w:numId w:val="15"/>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附录：包含自动化扫描工具配置、漏洞复现素材（截图 / 视频）、引用的标准文件清单。</w:t>
      </w:r>
    </w:p>
    <w:p w14:paraId="2681ABBC">
      <w:pPr>
        <w:pStyle w:val="323"/>
        <w:keepNext w:val="0"/>
        <w:keepLines w:val="0"/>
        <w:pageBreakBefore w:val="0"/>
        <w:widowControl/>
        <w:numPr>
          <w:ilvl w:val="0"/>
          <w:numId w:val="12"/>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b/>
          <w:bCs/>
        </w:rPr>
      </w:pPr>
      <w:r>
        <w:rPr>
          <w:rFonts w:hint="eastAsia" w:ascii="宋体" w:hAnsi="宋体" w:eastAsia="宋体" w:cs="宋体"/>
          <w:b/>
          <w:bCs/>
        </w:rPr>
        <w:t>报告交付形式</w:t>
      </w:r>
    </w:p>
    <w:p w14:paraId="667C8CAF">
      <w:pPr>
        <w:pStyle w:val="323"/>
        <w:keepNext w:val="0"/>
        <w:keepLines w:val="0"/>
        <w:pageBreakBefore w:val="0"/>
        <w:widowControl/>
        <w:numPr>
          <w:ilvl w:val="0"/>
          <w:numId w:val="16"/>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color w:val="auto"/>
        </w:rPr>
      </w:pPr>
      <w:r>
        <w:rPr>
          <w:rFonts w:hint="eastAsia" w:ascii="宋体" w:hAnsi="宋体" w:eastAsia="宋体" w:cs="宋体"/>
          <w:color w:val="auto"/>
        </w:rPr>
        <w:t>电子版本：PDF 格式（加密，防止篡改）、可编辑文档格式（如 Word，便于信息中心后续跟踪整改）；</w:t>
      </w:r>
    </w:p>
    <w:p w14:paraId="204F6E37">
      <w:pPr>
        <w:pStyle w:val="323"/>
        <w:keepNext w:val="0"/>
        <w:keepLines w:val="0"/>
        <w:pageBreakBefore w:val="0"/>
        <w:widowControl/>
        <w:numPr>
          <w:ilvl w:val="0"/>
          <w:numId w:val="16"/>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color w:val="auto"/>
        </w:rPr>
      </w:pPr>
      <w:r>
        <w:rPr>
          <w:rFonts w:hint="eastAsia" w:ascii="宋体" w:hAnsi="宋体" w:eastAsia="宋体" w:cs="宋体"/>
          <w:color w:val="auto"/>
        </w:rPr>
        <w:t>纸质版本：2 份，需审计单位盖章确认。</w:t>
      </w:r>
    </w:p>
    <w:p w14:paraId="150AF60C">
      <w:pPr>
        <w:pStyle w:val="3"/>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p>
    <w:p w14:paraId="351F6B9D">
      <w:pPr>
        <w:pStyle w:val="3"/>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交付物清单</w:t>
      </w:r>
    </w:p>
    <w:p w14:paraId="09536E8E">
      <w:pPr>
        <w:pStyle w:val="323"/>
        <w:keepNext w:val="0"/>
        <w:keepLines w:val="0"/>
        <w:pageBreakBefore w:val="0"/>
        <w:widowControl/>
        <w:kinsoku/>
        <w:wordWrap/>
        <w:overflowPunct/>
        <w:topLinePunct w:val="0"/>
        <w:autoSpaceDE/>
        <w:autoSpaceDN/>
        <w:bidi w:val="0"/>
        <w:adjustRightInd/>
        <w:snapToGrid/>
        <w:spacing w:line="320" w:lineRule="exact"/>
        <w:ind w:left="416" w:leftChars="198" w:firstLine="440" w:firstLineChars="200"/>
        <w:textAlignment w:val="auto"/>
        <w:rPr>
          <w:rFonts w:hint="eastAsia" w:ascii="宋体" w:hAnsi="宋体" w:eastAsia="宋体" w:cs="宋体"/>
        </w:rPr>
      </w:pPr>
      <w:r>
        <w:rPr>
          <w:rFonts w:hint="eastAsia" w:ascii="宋体" w:hAnsi="宋体" w:eastAsia="宋体" w:cs="宋体"/>
        </w:rPr>
        <w:t>审计服务完成后，审计单位需向信息中心交付以下成果物：</w:t>
      </w:r>
    </w:p>
    <w:p w14:paraId="72529F2B">
      <w:pPr>
        <w:pStyle w:val="323"/>
        <w:keepNext w:val="0"/>
        <w:keepLines w:val="0"/>
        <w:pageBreakBefore w:val="0"/>
        <w:widowControl/>
        <w:numPr>
          <w:ilvl w:val="0"/>
          <w:numId w:val="17"/>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《代码审计实施方案》；</w:t>
      </w:r>
    </w:p>
    <w:p w14:paraId="03882818">
      <w:pPr>
        <w:pStyle w:val="323"/>
        <w:keepNext w:val="0"/>
        <w:keepLines w:val="0"/>
        <w:pageBreakBefore w:val="0"/>
        <w:widowControl/>
        <w:numPr>
          <w:ilvl w:val="0"/>
          <w:numId w:val="17"/>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《自动化扫描漏洞清单》；</w:t>
      </w:r>
    </w:p>
    <w:p w14:paraId="5A1D5561">
      <w:pPr>
        <w:pStyle w:val="323"/>
        <w:keepNext w:val="0"/>
        <w:keepLines w:val="0"/>
        <w:pageBreakBefore w:val="0"/>
        <w:widowControl/>
        <w:numPr>
          <w:ilvl w:val="0"/>
          <w:numId w:val="17"/>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《代码审计报告》（电子档 + 纸质盖章版）</w:t>
      </w:r>
      <w:r>
        <w:rPr>
          <w:rFonts w:hint="eastAsia" w:ascii="宋体" w:hAnsi="宋体" w:eastAsia="宋体" w:cs="宋体"/>
          <w:lang w:eastAsia="zh-CN"/>
        </w:rPr>
        <w:t>。</w:t>
      </w:r>
    </w:p>
    <w:p w14:paraId="10755670">
      <w:pPr>
        <w:pStyle w:val="3"/>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lang w:val="en-US" w:eastAsia="zh-CN"/>
        </w:rPr>
      </w:pPr>
    </w:p>
    <w:p w14:paraId="145F73A1">
      <w:pPr>
        <w:pStyle w:val="3"/>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时间要求</w:t>
      </w:r>
    </w:p>
    <w:p w14:paraId="2DD389E7">
      <w:pPr>
        <w:pStyle w:val="323"/>
        <w:keepNext w:val="0"/>
        <w:keepLines w:val="0"/>
        <w:pageBreakBefore w:val="0"/>
        <w:widowControl/>
        <w:kinsoku/>
        <w:wordWrap/>
        <w:overflowPunct/>
        <w:topLinePunct w:val="0"/>
        <w:autoSpaceDE/>
        <w:autoSpaceDN/>
        <w:bidi w:val="0"/>
        <w:adjustRightInd/>
        <w:snapToGrid/>
        <w:spacing w:line="320" w:lineRule="exact"/>
        <w:ind w:left="416" w:leftChars="198" w:firstLine="440" w:firstLineChars="200"/>
        <w:textAlignment w:val="auto"/>
        <w:rPr>
          <w:rFonts w:hint="eastAsia" w:ascii="宋体" w:hAnsi="宋体" w:eastAsia="宋体" w:cs="宋体"/>
        </w:rPr>
      </w:pPr>
      <w:r>
        <w:rPr>
          <w:rFonts w:hint="eastAsia" w:ascii="宋体" w:hAnsi="宋体" w:eastAsia="宋体" w:cs="宋体"/>
        </w:rPr>
        <w:t>单个业务系统的代码审计周期原则上不超过 15 个工作日（自审计准备阶段启动之日起计算），具体时间可根据系统规模（代码量、模块数量）协商调整，需在《代码审计实施方案》中明确。</w:t>
      </w:r>
    </w:p>
    <w:p w14:paraId="5A1CBA4E">
      <w:pPr>
        <w:pStyle w:val="3"/>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lang w:val="en-US" w:eastAsia="zh-CN"/>
        </w:rPr>
      </w:pPr>
    </w:p>
    <w:p w14:paraId="5AD53D9E">
      <w:pPr>
        <w:pStyle w:val="3"/>
        <w:keepNext w:val="0"/>
        <w:keepLines w:val="0"/>
        <w:pageBreakBefore w:val="0"/>
        <w:widowControl/>
        <w:tabs>
          <w:tab w:val="clear" w:pos="0"/>
        </w:tabs>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保密要求</w:t>
      </w:r>
    </w:p>
    <w:p w14:paraId="7A4AC56B">
      <w:pPr>
        <w:pStyle w:val="323"/>
        <w:keepNext w:val="0"/>
        <w:keepLines w:val="0"/>
        <w:pageBreakBefore w:val="0"/>
        <w:widowControl/>
        <w:kinsoku/>
        <w:wordWrap/>
        <w:overflowPunct/>
        <w:topLinePunct w:val="0"/>
        <w:autoSpaceDE/>
        <w:autoSpaceDN/>
        <w:bidi w:val="0"/>
        <w:adjustRightInd/>
        <w:snapToGrid/>
        <w:spacing w:line="320" w:lineRule="exact"/>
        <w:ind w:left="416" w:leftChars="198" w:firstLine="440" w:firstLineChars="200"/>
        <w:textAlignment w:val="auto"/>
        <w:rPr>
          <w:rFonts w:hint="eastAsia" w:ascii="宋体" w:hAnsi="宋体" w:eastAsia="宋体" w:cs="宋体"/>
        </w:rPr>
      </w:pPr>
      <w:r>
        <w:rPr>
          <w:rFonts w:hint="eastAsia" w:ascii="宋体" w:hAnsi="宋体" w:eastAsia="宋体" w:cs="宋体"/>
        </w:rPr>
        <w:t>审计单位及参与审计的人员需严格遵守学校保密规定，对审计过程中接触的敏感信息（如学生个人信息、教职工数据、系统源代码）承担保密责任：</w:t>
      </w:r>
    </w:p>
    <w:p w14:paraId="01EB12A7">
      <w:pPr>
        <w:pStyle w:val="323"/>
        <w:keepNext w:val="0"/>
        <w:keepLines w:val="0"/>
        <w:pageBreakBefore w:val="0"/>
        <w:widowControl/>
        <w:numPr>
          <w:ilvl w:val="0"/>
          <w:numId w:val="18"/>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不得向第三方泄露任何审计相关信息，除非获得信息中心书面授权；</w:t>
      </w:r>
    </w:p>
    <w:p w14:paraId="3899D97B">
      <w:pPr>
        <w:pStyle w:val="323"/>
        <w:keepNext w:val="0"/>
        <w:keepLines w:val="0"/>
        <w:pageBreakBefore w:val="0"/>
        <w:widowControl/>
        <w:numPr>
          <w:ilvl w:val="0"/>
          <w:numId w:val="18"/>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审计结束后，需删除所有存储在审计设备中的系统代码、测试数据，仅保留审计报告及必要的工作文档；</w:t>
      </w:r>
    </w:p>
    <w:p w14:paraId="726F7429">
      <w:pPr>
        <w:pStyle w:val="323"/>
        <w:keepNext w:val="0"/>
        <w:keepLines w:val="0"/>
        <w:pageBreakBefore w:val="0"/>
        <w:widowControl/>
        <w:numPr>
          <w:ilvl w:val="0"/>
          <w:numId w:val="18"/>
        </w:numPr>
        <w:kinsoku/>
        <w:wordWrap/>
        <w:overflowPunct/>
        <w:topLinePunct w:val="0"/>
        <w:autoSpaceDE/>
        <w:autoSpaceDN/>
        <w:bidi w:val="0"/>
        <w:adjustRightInd/>
        <w:snapToGrid/>
        <w:spacing w:line="320" w:lineRule="exact"/>
        <w:ind w:left="416" w:leftChars="198" w:firstLine="3" w:firstLineChars="0"/>
        <w:textAlignment w:val="auto"/>
        <w:rPr>
          <w:rFonts w:hint="eastAsia" w:ascii="宋体" w:hAnsi="宋体" w:eastAsia="宋体" w:cs="宋体"/>
        </w:rPr>
      </w:pPr>
      <w:r>
        <w:rPr>
          <w:rFonts w:hint="eastAsia" w:ascii="宋体" w:hAnsi="宋体" w:eastAsia="宋体" w:cs="宋体"/>
        </w:rPr>
        <w:t>若发生信息泄露，需承担相应法律责任，并赔偿学校因此遭受的损失。</w:t>
      </w:r>
    </w:p>
    <w:p w14:paraId="6225AAF8">
      <w:pPr>
        <w:pStyle w:val="59"/>
        <w:numPr>
          <w:ilvl w:val="0"/>
          <w:numId w:val="0"/>
        </w:numPr>
        <w:ind w:leftChars="200"/>
        <w:rPr>
          <w:rFonts w:hint="default"/>
          <w:lang w:val="en-US" w:eastAsia="zh-CN"/>
        </w:rPr>
      </w:pPr>
    </w:p>
    <w:p w14:paraId="772EFB5E">
      <w:pPr>
        <w:numPr>
          <w:ilvl w:val="0"/>
          <w:numId w:val="1"/>
        </w:numPr>
        <w:spacing w:line="500" w:lineRule="exact"/>
        <w:ind w:left="0" w:leftChars="0" w:firstLine="482" w:firstLineChars="200"/>
        <w:jc w:val="left"/>
        <w:rPr>
          <w:rFonts w:hint="eastAsia" w:ascii="宋体" w:hAnsi="宋体" w:cs="宋体"/>
          <w:b/>
          <w:bCs/>
          <w:sz w:val="24"/>
        </w:rPr>
      </w:pPr>
      <w:bookmarkStart w:id="30" w:name="_Hlk161408304"/>
      <w:r>
        <w:rPr>
          <w:rFonts w:hint="eastAsia" w:ascii="宋体" w:hAnsi="宋体" w:cs="宋体"/>
          <w:b/>
          <w:bCs/>
          <w:sz w:val="24"/>
        </w:rPr>
        <w:t>供货时间</w:t>
      </w:r>
      <w:r>
        <w:rPr>
          <w:rFonts w:hint="eastAsia" w:ascii="宋体" w:hAnsi="宋体" w:cs="宋体"/>
          <w:b/>
          <w:bCs/>
          <w:sz w:val="24"/>
          <w:lang w:eastAsia="zh-CN"/>
        </w:rPr>
        <w:t>、</w:t>
      </w:r>
      <w:r>
        <w:rPr>
          <w:rFonts w:hint="eastAsia" w:ascii="宋体" w:hAnsi="宋体" w:cs="宋体"/>
          <w:b/>
          <w:bCs/>
          <w:sz w:val="24"/>
        </w:rPr>
        <w:t>验收等相关要求</w:t>
      </w:r>
      <w:bookmarkEnd w:id="30"/>
    </w:p>
    <w:p w14:paraId="14328A3F">
      <w:pPr>
        <w:numPr>
          <w:ilvl w:val="0"/>
          <w:numId w:val="0"/>
        </w:numPr>
        <w:spacing w:line="500" w:lineRule="exact"/>
        <w:ind w:leftChars="200" w:firstLine="480" w:firstLineChars="200"/>
        <w:jc w:val="left"/>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合同签定之日起，15个工作日完成服务。</w:t>
      </w:r>
    </w:p>
    <w:p w14:paraId="14EC2849">
      <w:pPr>
        <w:numPr>
          <w:ilvl w:val="0"/>
          <w:numId w:val="1"/>
        </w:numPr>
        <w:spacing w:line="440" w:lineRule="exact"/>
        <w:ind w:left="0" w:leftChars="0" w:firstLine="482" w:firstLineChars="200"/>
        <w:jc w:val="left"/>
        <w:rPr>
          <w:rFonts w:hint="eastAsia" w:ascii="宋体" w:hAnsi="宋体" w:cs="宋体"/>
          <w:b/>
          <w:bCs/>
          <w:color w:val="auto"/>
          <w:sz w:val="24"/>
        </w:rPr>
      </w:pPr>
      <w:r>
        <w:rPr>
          <w:rFonts w:hint="eastAsia" w:ascii="宋体" w:hAnsi="宋体" w:cs="宋体"/>
          <w:b/>
          <w:bCs/>
          <w:color w:val="auto"/>
          <w:sz w:val="24"/>
        </w:rPr>
        <w:t>付款方式：</w:t>
      </w:r>
    </w:p>
    <w:p w14:paraId="2070320B">
      <w:pPr>
        <w:numPr>
          <w:ilvl w:val="0"/>
          <w:numId w:val="0"/>
        </w:numPr>
        <w:spacing w:line="440" w:lineRule="exact"/>
        <w:ind w:leftChars="200" w:firstLine="480" w:firstLineChars="200"/>
        <w:jc w:val="left"/>
        <w:rPr>
          <w:rFonts w:hint="eastAsia" w:ascii="宋体" w:hAnsi="宋体" w:cs="宋体"/>
          <w:b/>
          <w:bCs/>
          <w:color w:val="auto"/>
          <w:sz w:val="24"/>
        </w:rPr>
      </w:pPr>
      <w:r>
        <w:rPr>
          <w:rFonts w:hint="eastAsia" w:ascii="宋体" w:hAnsi="宋体" w:cs="宋体"/>
          <w:sz w:val="24"/>
        </w:rPr>
        <w:t>服务内容全部完成，并验收合格后，成交供应商开具相当于采购人付款金额的，符合国家财税规定并满足采购人财务要求的税务发票，否则采购人有权延迟付款并不承担任何责任。采购人在收到税票后30日内付清合同款项的100%。</w:t>
      </w:r>
    </w:p>
    <w:p w14:paraId="4DD660E3">
      <w:pPr>
        <w:spacing w:line="440" w:lineRule="exact"/>
        <w:ind w:firstLine="482" w:firstLineChars="200"/>
        <w:jc w:val="left"/>
        <w:rPr>
          <w:rFonts w:ascii="宋体" w:hAnsi="宋体" w:cs="宋体"/>
          <w:b/>
          <w:bCs/>
          <w:color w:val="auto"/>
          <w:sz w:val="24"/>
        </w:rPr>
      </w:pPr>
      <w:r>
        <w:rPr>
          <w:rFonts w:hint="eastAsia" w:ascii="宋体" w:hAnsi="宋体" w:cs="宋体"/>
          <w:b/>
          <w:bCs/>
          <w:color w:val="auto"/>
          <w:sz w:val="24"/>
          <w:lang w:eastAsia="zh-CN"/>
        </w:rPr>
        <w:t>五</w:t>
      </w:r>
      <w:r>
        <w:rPr>
          <w:rFonts w:hint="eastAsia" w:ascii="宋体" w:hAnsi="宋体" w:cs="宋体"/>
          <w:b/>
          <w:bCs/>
          <w:color w:val="auto"/>
          <w:sz w:val="24"/>
        </w:rPr>
        <w:t>、项目预算价：</w:t>
      </w:r>
    </w:p>
    <w:p w14:paraId="54A794DB">
      <w:pPr>
        <w:spacing w:line="440" w:lineRule="exact"/>
        <w:ind w:firstLine="960" w:firstLineChars="400"/>
        <w:jc w:val="left"/>
        <w:rPr>
          <w:rFonts w:ascii="宋体" w:hAnsi="宋体" w:cs="宋体"/>
          <w:color w:val="0000FF"/>
          <w:sz w:val="24"/>
        </w:rPr>
      </w:pPr>
      <w:r>
        <w:rPr>
          <w:rFonts w:hint="eastAsia" w:ascii="宋体" w:hAnsi="宋体" w:cs="宋体"/>
          <w:bCs/>
          <w:color w:val="auto"/>
          <w:sz w:val="24"/>
        </w:rPr>
        <w:t>本项目预算金额：</w:t>
      </w:r>
      <w:r>
        <w:rPr>
          <w:rFonts w:hint="eastAsia" w:ascii="宋体" w:hAnsi="宋体" w:cs="宋体"/>
          <w:bCs/>
          <w:color w:val="000000" w:themeColor="text1"/>
          <w:sz w:val="24"/>
          <w14:textFill>
            <w14:solidFill>
              <w14:schemeClr w14:val="tx1"/>
            </w14:solidFill>
          </w14:textFill>
        </w:rPr>
        <w:t>人民币</w:t>
      </w:r>
      <w:r>
        <w:rPr>
          <w:rFonts w:hint="eastAsia" w:ascii="宋体" w:hAnsi="宋体" w:cs="宋体"/>
          <w:bCs/>
          <w:color w:val="000000" w:themeColor="text1"/>
          <w:sz w:val="24"/>
          <w:lang w:val="en-US" w:eastAsia="zh-CN"/>
          <w14:textFill>
            <w14:solidFill>
              <w14:schemeClr w14:val="tx1"/>
            </w14:solidFill>
          </w14:textFill>
        </w:rPr>
        <w:t>3.8</w:t>
      </w:r>
      <w:r>
        <w:rPr>
          <w:rFonts w:hint="eastAsia" w:ascii="宋体" w:hAnsi="宋体" w:cs="宋体"/>
          <w:bCs/>
          <w:color w:val="000000" w:themeColor="text1"/>
          <w:sz w:val="24"/>
          <w14:textFill>
            <w14:solidFill>
              <w14:schemeClr w14:val="tx1"/>
            </w14:solidFill>
          </w14:textFill>
        </w:rPr>
        <w:t>万元，</w:t>
      </w:r>
      <w:r>
        <w:rPr>
          <w:rFonts w:hint="eastAsia" w:ascii="宋体" w:hAnsi="宋体" w:cs="宋体"/>
          <w:bCs/>
          <w:color w:val="auto"/>
          <w:sz w:val="24"/>
        </w:rPr>
        <w:t>报价超过采购预算，将作为无效响应。</w:t>
      </w:r>
    </w:p>
    <w:p w14:paraId="00FE314F">
      <w:pPr>
        <w:spacing w:line="440" w:lineRule="exact"/>
        <w:ind w:firstLine="482" w:firstLineChars="200"/>
        <w:jc w:val="left"/>
        <w:rPr>
          <w:rFonts w:hint="eastAsia" w:ascii="宋体" w:hAnsi="宋体" w:cs="宋体"/>
          <w:b/>
          <w:bCs/>
          <w:color w:val="auto"/>
          <w:sz w:val="24"/>
          <w:lang w:eastAsia="zh-CN"/>
        </w:rPr>
      </w:pPr>
      <w:r>
        <w:rPr>
          <w:rFonts w:hint="eastAsia" w:ascii="宋体" w:hAnsi="宋体" w:cs="宋体"/>
          <w:b/>
          <w:bCs/>
          <w:color w:val="auto"/>
          <w:sz w:val="24"/>
          <w:lang w:eastAsia="zh-CN"/>
        </w:rPr>
        <w:t>六、评标：</w:t>
      </w:r>
    </w:p>
    <w:p w14:paraId="771643F9">
      <w:pPr>
        <w:spacing w:line="440" w:lineRule="exact"/>
        <w:ind w:firstLine="960" w:firstLineChars="400"/>
        <w:jc w:val="left"/>
      </w:pPr>
      <w:r>
        <w:rPr>
          <w:rFonts w:hint="eastAsia" w:ascii="宋体" w:hAnsi="宋体" w:cs="宋体"/>
          <w:color w:val="auto"/>
          <w:sz w:val="24"/>
        </w:rPr>
        <w:t>采用综合评分法</w:t>
      </w:r>
      <w:r>
        <w:rPr>
          <w:rFonts w:hint="eastAsia" w:ascii="宋体" w:hAnsi="宋体" w:cs="宋体"/>
          <w:color w:val="auto"/>
          <w:sz w:val="24"/>
          <w:lang w:eastAsia="zh-CN"/>
        </w:rPr>
        <w:t>进行评审，</w:t>
      </w:r>
      <w:r>
        <w:rPr>
          <w:rFonts w:hint="eastAsia" w:ascii="宋体" w:hAnsi="宋体" w:cs="宋体"/>
          <w:color w:val="auto"/>
          <w:sz w:val="24"/>
          <w:lang w:val="en-US" w:eastAsia="zh-CN"/>
        </w:rPr>
        <w:t>评</w:t>
      </w:r>
      <w:r>
        <w:rPr>
          <w:rFonts w:hint="eastAsia" w:ascii="宋体" w:hAnsi="宋体" w:cs="宋体"/>
          <w:color w:val="auto"/>
          <w:sz w:val="24"/>
          <w:lang w:eastAsia="zh-CN"/>
        </w:rPr>
        <w:t>分最高的</w:t>
      </w:r>
      <w:r>
        <w:rPr>
          <w:rFonts w:hint="eastAsia" w:ascii="宋体" w:hAnsi="宋体" w:cs="宋体"/>
          <w:color w:val="auto"/>
          <w:sz w:val="24"/>
          <w:lang w:val="en-US" w:eastAsia="zh-CN"/>
        </w:rPr>
        <w:t>单位</w:t>
      </w:r>
      <w:r>
        <w:rPr>
          <w:rFonts w:hint="eastAsia" w:ascii="宋体" w:hAnsi="宋体" w:cs="宋体"/>
          <w:color w:val="auto"/>
          <w:sz w:val="24"/>
          <w:lang w:eastAsia="zh-CN"/>
        </w:rPr>
        <w:t>中标</w:t>
      </w:r>
      <w:r>
        <w:rPr>
          <w:rFonts w:hint="eastAsia" w:ascii="宋体" w:hAnsi="宋体" w:cs="宋体"/>
          <w:color w:val="auto"/>
          <w:sz w:val="24"/>
        </w:rPr>
        <w:t>。</w:t>
      </w:r>
    </w:p>
    <w:p w14:paraId="57F89AC2">
      <w:pPr>
        <w:spacing w:line="500" w:lineRule="exact"/>
        <w:jc w:val="left"/>
        <w:rPr>
          <w:rFonts w:hint="eastAsia" w:ascii="宋体" w:hAnsi="宋体" w:cs="宋体"/>
          <w:b/>
          <w:kern w:val="0"/>
          <w:sz w:val="24"/>
        </w:rPr>
      </w:pPr>
    </w:p>
    <w:p w14:paraId="7BBBB678">
      <w:pPr>
        <w:spacing w:line="500" w:lineRule="exact"/>
        <w:jc w:val="left"/>
        <w:rPr>
          <w:rFonts w:hint="eastAsia" w:ascii="宋体" w:hAnsi="宋体" w:cs="宋体"/>
          <w:b/>
          <w:kern w:val="0"/>
          <w:sz w:val="24"/>
        </w:rPr>
      </w:pPr>
    </w:p>
    <w:p w14:paraId="55D718E0">
      <w:pPr>
        <w:spacing w:line="500" w:lineRule="exact"/>
        <w:jc w:val="left"/>
        <w:rPr>
          <w:rFonts w:hint="eastAsia" w:ascii="宋体" w:hAnsi="宋体" w:cs="宋体"/>
          <w:b/>
          <w:kern w:val="0"/>
          <w:sz w:val="24"/>
        </w:rPr>
      </w:pPr>
    </w:p>
    <w:p w14:paraId="17362C35">
      <w:pPr>
        <w:spacing w:line="500" w:lineRule="exact"/>
        <w:jc w:val="left"/>
        <w:rPr>
          <w:rFonts w:hint="eastAsia" w:ascii="宋体" w:hAnsi="宋体" w:cs="宋体"/>
          <w:b/>
          <w:kern w:val="0"/>
          <w:sz w:val="24"/>
        </w:rPr>
      </w:pPr>
    </w:p>
    <w:p w14:paraId="697726EE">
      <w:pPr>
        <w:spacing w:line="500" w:lineRule="exact"/>
        <w:jc w:val="left"/>
        <w:rPr>
          <w:rFonts w:hint="eastAsia" w:ascii="宋体" w:hAnsi="宋体" w:cs="宋体"/>
          <w:b/>
          <w:kern w:val="0"/>
          <w:sz w:val="24"/>
        </w:rPr>
      </w:pPr>
    </w:p>
    <w:p w14:paraId="4B3B955C">
      <w:pPr>
        <w:spacing w:line="500" w:lineRule="exact"/>
        <w:jc w:val="left"/>
        <w:rPr>
          <w:rFonts w:hint="eastAsia" w:ascii="宋体" w:hAnsi="宋体" w:cs="宋体"/>
          <w:b/>
          <w:kern w:val="0"/>
          <w:sz w:val="24"/>
        </w:rPr>
      </w:pPr>
    </w:p>
    <w:p w14:paraId="65F42B94">
      <w:pPr>
        <w:spacing w:line="500" w:lineRule="exact"/>
        <w:jc w:val="left"/>
        <w:rPr>
          <w:rFonts w:hint="eastAsia" w:ascii="宋体" w:hAnsi="宋体" w:cs="宋体"/>
          <w:b/>
          <w:kern w:val="0"/>
          <w:sz w:val="24"/>
        </w:rPr>
      </w:pPr>
    </w:p>
    <w:p w14:paraId="5AEA07A4">
      <w:pPr>
        <w:rPr>
          <w:rFonts w:hint="eastAsia" w:ascii="宋体" w:hAnsi="宋体" w:cs="宋体"/>
          <w:b/>
          <w:kern w:val="0"/>
          <w:sz w:val="24"/>
        </w:rPr>
      </w:pPr>
      <w:r>
        <w:rPr>
          <w:rFonts w:hint="eastAsia" w:ascii="宋体" w:hAnsi="宋体" w:cs="宋体"/>
          <w:b/>
          <w:kern w:val="0"/>
          <w:sz w:val="24"/>
        </w:rPr>
        <w:br w:type="page"/>
      </w:r>
    </w:p>
    <w:p w14:paraId="5A6A9EED">
      <w:pPr>
        <w:spacing w:line="500" w:lineRule="exact"/>
        <w:jc w:val="left"/>
        <w:rPr>
          <w:rFonts w:ascii="宋体" w:hAnsi="宋体" w:cs="宋体"/>
          <w:b/>
          <w:kern w:val="0"/>
          <w:sz w:val="24"/>
        </w:rPr>
      </w:pPr>
      <w:r>
        <w:rPr>
          <w:rFonts w:hint="eastAsia" w:ascii="宋体" w:hAnsi="宋体" w:cs="宋体"/>
          <w:b/>
          <w:kern w:val="0"/>
          <w:sz w:val="24"/>
        </w:rPr>
        <w:t>附件一：</w:t>
      </w:r>
    </w:p>
    <w:p w14:paraId="618637BE">
      <w:pPr>
        <w:pStyle w:val="9"/>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14:paraId="74B74B9A">
      <w:pPr>
        <w:pStyle w:val="9"/>
        <w:overflowPunct w:val="0"/>
        <w:spacing w:line="500" w:lineRule="exact"/>
        <w:ind w:firstLine="480"/>
        <w:rPr>
          <w:rFonts w:ascii="宋体" w:hAnsi="宋体" w:cs="宋体"/>
          <w:szCs w:val="24"/>
        </w:rPr>
      </w:pPr>
    </w:p>
    <w:p w14:paraId="008BE16D">
      <w:pPr>
        <w:spacing w:line="500" w:lineRule="exact"/>
        <w:jc w:val="left"/>
        <w:rPr>
          <w:rFonts w:ascii="宋体" w:hAnsi="宋体" w:cs="宋体"/>
          <w:bCs/>
          <w:sz w:val="24"/>
        </w:rPr>
      </w:pPr>
      <w:r>
        <w:rPr>
          <w:rFonts w:hint="eastAsia" w:ascii="宋体" w:hAnsi="宋体" w:cs="宋体"/>
          <w:bCs/>
          <w:sz w:val="24"/>
        </w:rPr>
        <w:t xml:space="preserve">本授权委托书声明：  </w:t>
      </w:r>
    </w:p>
    <w:p w14:paraId="2D20C673">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14:paraId="23448512">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14:paraId="0117A07F">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14:paraId="7015DCBE">
      <w:pPr>
        <w:spacing w:line="500" w:lineRule="exact"/>
        <w:ind w:firstLine="480" w:firstLineChars="200"/>
        <w:jc w:val="left"/>
        <w:rPr>
          <w:rFonts w:ascii="宋体" w:hAnsi="宋体" w:cs="宋体"/>
          <w:bCs/>
          <w:sz w:val="24"/>
        </w:rPr>
      </w:pPr>
      <w:r>
        <w:rPr>
          <w:rFonts w:hint="eastAsia" w:ascii="宋体" w:hAnsi="宋体" w:cs="宋体"/>
          <w:bCs/>
          <w:sz w:val="24"/>
        </w:rPr>
        <w:t>特此委托。</w:t>
      </w:r>
    </w:p>
    <w:p w14:paraId="75BC2C2D">
      <w:pPr>
        <w:spacing w:line="500" w:lineRule="exact"/>
        <w:jc w:val="left"/>
        <w:rPr>
          <w:rFonts w:ascii="宋体" w:hAnsi="宋体" w:cs="宋体"/>
          <w:bCs/>
          <w:sz w:val="24"/>
        </w:rPr>
      </w:pPr>
      <w:r>
        <w:rPr>
          <w:rFonts w:hint="eastAsia" w:ascii="宋体" w:hAnsi="宋体" w:cs="宋体"/>
          <w:bCs/>
          <w:sz w:val="24"/>
        </w:rPr>
        <w:t xml:space="preserve">    </w:t>
      </w:r>
    </w:p>
    <w:p w14:paraId="1444A614">
      <w:pPr>
        <w:spacing w:line="500" w:lineRule="exact"/>
        <w:jc w:val="left"/>
        <w:rPr>
          <w:rFonts w:ascii="宋体" w:hAnsi="宋体" w:cs="宋体"/>
          <w:bCs/>
          <w:sz w:val="24"/>
        </w:rPr>
      </w:pPr>
      <w:r>
        <w:rPr>
          <w:rFonts w:hint="eastAsia" w:ascii="宋体" w:hAnsi="宋体" w:cs="宋体"/>
          <w:bCs/>
          <w:sz w:val="24"/>
        </w:rPr>
        <w:t>供应商（盖章）：</w:t>
      </w:r>
    </w:p>
    <w:p w14:paraId="70759D23">
      <w:pPr>
        <w:spacing w:line="500" w:lineRule="exact"/>
        <w:jc w:val="left"/>
        <w:rPr>
          <w:rFonts w:ascii="宋体" w:hAnsi="宋体" w:cs="宋体"/>
          <w:bCs/>
          <w:sz w:val="24"/>
        </w:rPr>
      </w:pPr>
      <w:r>
        <w:rPr>
          <w:rFonts w:hint="eastAsia" w:ascii="宋体" w:hAnsi="宋体" w:cs="宋体"/>
          <w:bCs/>
          <w:sz w:val="24"/>
        </w:rPr>
        <w:t>法定代表人（签字或盖章）：</w:t>
      </w:r>
    </w:p>
    <w:p w14:paraId="67AA6110">
      <w:pPr>
        <w:spacing w:line="500" w:lineRule="exact"/>
        <w:jc w:val="left"/>
        <w:rPr>
          <w:rFonts w:ascii="宋体" w:hAnsi="宋体" w:cs="宋体"/>
          <w:bCs/>
          <w:sz w:val="24"/>
        </w:rPr>
      </w:pPr>
      <w:r>
        <w:rPr>
          <w:rFonts w:hint="eastAsia" w:ascii="宋体" w:hAnsi="宋体" w:cs="宋体"/>
          <w:bCs/>
          <w:sz w:val="24"/>
        </w:rPr>
        <w:t>身份证号码：</w:t>
      </w:r>
    </w:p>
    <w:p w14:paraId="0F21DD4D">
      <w:pPr>
        <w:spacing w:line="500" w:lineRule="exact"/>
        <w:jc w:val="left"/>
        <w:rPr>
          <w:rFonts w:ascii="宋体" w:hAnsi="宋体" w:cs="宋体"/>
          <w:bCs/>
          <w:sz w:val="24"/>
        </w:rPr>
      </w:pPr>
    </w:p>
    <w:p w14:paraId="14E4AF37">
      <w:pPr>
        <w:spacing w:line="500" w:lineRule="exact"/>
        <w:jc w:val="left"/>
        <w:rPr>
          <w:rFonts w:ascii="宋体" w:hAnsi="宋体" w:cs="宋体"/>
          <w:bCs/>
          <w:sz w:val="24"/>
        </w:rPr>
      </w:pPr>
      <w:r>
        <w:rPr>
          <w:rFonts w:hint="eastAsia" w:ascii="宋体" w:hAnsi="宋体" w:cs="宋体"/>
          <w:bCs/>
          <w:sz w:val="24"/>
        </w:rPr>
        <w:t>代理人（签字或盖章）：</w:t>
      </w:r>
    </w:p>
    <w:p w14:paraId="079402BF">
      <w:pPr>
        <w:spacing w:line="500" w:lineRule="exact"/>
        <w:jc w:val="left"/>
        <w:rPr>
          <w:rFonts w:ascii="宋体" w:hAnsi="宋体" w:cs="宋体"/>
          <w:bCs/>
          <w:sz w:val="24"/>
        </w:rPr>
      </w:pPr>
      <w:r>
        <w:rPr>
          <w:rFonts w:hint="eastAsia" w:ascii="宋体" w:hAnsi="宋体" w:cs="宋体"/>
          <w:bCs/>
          <w:sz w:val="24"/>
        </w:rPr>
        <w:t xml:space="preserve">通讯地址： </w:t>
      </w:r>
    </w:p>
    <w:p w14:paraId="189CA37B">
      <w:pPr>
        <w:spacing w:line="500" w:lineRule="exact"/>
        <w:jc w:val="left"/>
        <w:rPr>
          <w:rFonts w:ascii="宋体" w:hAnsi="宋体" w:cs="宋体"/>
          <w:bCs/>
          <w:sz w:val="24"/>
        </w:rPr>
      </w:pPr>
      <w:r>
        <w:rPr>
          <w:rFonts w:hint="eastAsia" w:ascii="宋体" w:hAnsi="宋体" w:cs="宋体"/>
          <w:bCs/>
          <w:sz w:val="24"/>
        </w:rPr>
        <w:t>通讯电话：</w:t>
      </w:r>
    </w:p>
    <w:p w14:paraId="207C8E1A">
      <w:pPr>
        <w:spacing w:line="500" w:lineRule="exact"/>
        <w:jc w:val="left"/>
        <w:rPr>
          <w:rFonts w:ascii="宋体" w:hAnsi="宋体" w:cs="宋体"/>
          <w:bCs/>
          <w:sz w:val="24"/>
        </w:rPr>
      </w:pPr>
      <w:r>
        <w:rPr>
          <w:rFonts w:hint="eastAsia" w:ascii="宋体" w:hAnsi="宋体" w:cs="宋体"/>
          <w:bCs/>
          <w:sz w:val="24"/>
        </w:rPr>
        <w:t>邮箱：</w:t>
      </w:r>
    </w:p>
    <w:p w14:paraId="133BF310">
      <w:pPr>
        <w:spacing w:line="500" w:lineRule="exact"/>
        <w:jc w:val="left"/>
        <w:rPr>
          <w:rFonts w:ascii="宋体" w:hAnsi="宋体" w:cs="宋体"/>
          <w:bCs/>
          <w:sz w:val="24"/>
        </w:rPr>
      </w:pPr>
      <w:r>
        <w:rPr>
          <w:rFonts w:hint="eastAsia" w:ascii="宋体" w:hAnsi="宋体" w:cs="宋体"/>
          <w:bCs/>
          <w:sz w:val="24"/>
        </w:rPr>
        <w:t>身份证号码：</w:t>
      </w:r>
    </w:p>
    <w:p w14:paraId="6A7C5627">
      <w:pPr>
        <w:spacing w:line="500" w:lineRule="exact"/>
        <w:jc w:val="left"/>
        <w:rPr>
          <w:rFonts w:ascii="宋体" w:hAnsi="宋体" w:cs="宋体"/>
          <w:bCs/>
          <w:sz w:val="24"/>
        </w:rPr>
      </w:pPr>
    </w:p>
    <w:p w14:paraId="6CD0D307">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14:paraId="2A25BB7C">
      <w:pPr>
        <w:spacing w:line="500" w:lineRule="exact"/>
        <w:jc w:val="left"/>
        <w:rPr>
          <w:rFonts w:ascii="宋体" w:hAnsi="宋体" w:cs="宋体"/>
          <w:b/>
          <w:kern w:val="0"/>
          <w:sz w:val="24"/>
        </w:rPr>
      </w:pPr>
      <w:r>
        <w:rPr>
          <w:rFonts w:hint="eastAsia" w:ascii="宋体" w:hAnsi="宋体" w:cs="宋体"/>
          <w:b/>
          <w:kern w:val="0"/>
          <w:sz w:val="24"/>
        </w:rPr>
        <w:t>附件二</w:t>
      </w:r>
    </w:p>
    <w:p w14:paraId="58645617">
      <w:pPr>
        <w:spacing w:line="360" w:lineRule="exact"/>
        <w:jc w:val="center"/>
        <w:rPr>
          <w:rFonts w:ascii="宋体" w:hAnsi="宋体" w:cs="宋体"/>
          <w:b/>
          <w:sz w:val="36"/>
          <w:szCs w:val="36"/>
        </w:rPr>
      </w:pPr>
      <w:r>
        <w:rPr>
          <w:rFonts w:hint="eastAsia" w:ascii="宋体" w:hAnsi="宋体" w:cs="宋体"/>
          <w:b/>
          <w:sz w:val="36"/>
          <w:szCs w:val="36"/>
        </w:rPr>
        <w:t>报价表</w:t>
      </w:r>
    </w:p>
    <w:p w14:paraId="5CCD68E8">
      <w:pPr>
        <w:tabs>
          <w:tab w:val="left" w:pos="1800"/>
          <w:tab w:val="left" w:pos="5580"/>
        </w:tabs>
        <w:spacing w:line="360" w:lineRule="auto"/>
        <w:jc w:val="left"/>
        <w:rPr>
          <w:rFonts w:ascii="宋体" w:hAnsi="宋体" w:cs="宋体"/>
          <w:i/>
          <w:szCs w:val="21"/>
        </w:rPr>
      </w:pPr>
    </w:p>
    <w:p w14:paraId="29FAE8C9">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50"/>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14:paraId="28A4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63B953ED">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14:paraId="0AA529B7">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14:paraId="3A67D333">
            <w:pPr>
              <w:tabs>
                <w:tab w:val="left" w:pos="5580"/>
              </w:tabs>
              <w:jc w:val="center"/>
              <w:rPr>
                <w:rFonts w:ascii="宋体" w:hAnsi="宋体" w:cs="宋体"/>
                <w:b/>
                <w:szCs w:val="21"/>
              </w:rPr>
            </w:pPr>
            <w:r>
              <w:rPr>
                <w:rFonts w:hint="eastAsia" w:ascii="宋体" w:hAnsi="宋体" w:cs="宋体"/>
                <w:b/>
                <w:szCs w:val="21"/>
              </w:rPr>
              <w:t>投标报价</w:t>
            </w:r>
          </w:p>
        </w:tc>
      </w:tr>
      <w:tr w14:paraId="2C5E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8F2C287">
            <w:pPr>
              <w:tabs>
                <w:tab w:val="left" w:pos="5580"/>
              </w:tabs>
              <w:jc w:val="center"/>
              <w:rPr>
                <w:rFonts w:ascii="宋体" w:hAnsi="宋体" w:cs="宋体"/>
                <w:szCs w:val="21"/>
              </w:rPr>
            </w:pPr>
          </w:p>
        </w:tc>
        <w:tc>
          <w:tcPr>
            <w:tcW w:w="2215" w:type="pct"/>
            <w:vMerge w:val="continue"/>
            <w:vAlign w:val="center"/>
          </w:tcPr>
          <w:p w14:paraId="4278FE73">
            <w:pPr>
              <w:tabs>
                <w:tab w:val="left" w:pos="5580"/>
              </w:tabs>
              <w:jc w:val="center"/>
              <w:rPr>
                <w:rFonts w:ascii="宋体" w:hAnsi="宋体" w:cs="宋体"/>
                <w:szCs w:val="21"/>
              </w:rPr>
            </w:pPr>
          </w:p>
        </w:tc>
        <w:tc>
          <w:tcPr>
            <w:tcW w:w="1188" w:type="pct"/>
            <w:vAlign w:val="center"/>
          </w:tcPr>
          <w:p w14:paraId="78A15012">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14:paraId="5FFFBC8A">
            <w:pPr>
              <w:tabs>
                <w:tab w:val="left" w:pos="5580"/>
              </w:tabs>
              <w:jc w:val="center"/>
              <w:rPr>
                <w:rFonts w:ascii="宋体" w:hAnsi="宋体" w:cs="宋体"/>
                <w:b/>
                <w:szCs w:val="21"/>
              </w:rPr>
            </w:pPr>
            <w:r>
              <w:rPr>
                <w:rFonts w:hint="eastAsia" w:ascii="宋体" w:hAnsi="宋体" w:cs="宋体"/>
                <w:b/>
                <w:szCs w:val="21"/>
              </w:rPr>
              <w:t>小写</w:t>
            </w:r>
          </w:p>
        </w:tc>
      </w:tr>
      <w:tr w14:paraId="18B7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A6EE867">
            <w:pPr>
              <w:tabs>
                <w:tab w:val="left" w:pos="5580"/>
              </w:tabs>
              <w:jc w:val="center"/>
              <w:rPr>
                <w:rFonts w:ascii="宋体" w:hAnsi="宋体" w:cs="宋体"/>
                <w:szCs w:val="21"/>
                <w:highlight w:val="yellow"/>
              </w:rPr>
            </w:pPr>
          </w:p>
        </w:tc>
        <w:tc>
          <w:tcPr>
            <w:tcW w:w="2215" w:type="pct"/>
            <w:vAlign w:val="center"/>
          </w:tcPr>
          <w:p w14:paraId="50013357">
            <w:pPr>
              <w:tabs>
                <w:tab w:val="left" w:pos="5580"/>
              </w:tabs>
              <w:jc w:val="center"/>
              <w:rPr>
                <w:rFonts w:ascii="宋体" w:hAnsi="宋体" w:cs="宋体"/>
                <w:szCs w:val="21"/>
                <w:highlight w:val="yellow"/>
              </w:rPr>
            </w:pPr>
          </w:p>
        </w:tc>
        <w:tc>
          <w:tcPr>
            <w:tcW w:w="1188" w:type="pct"/>
            <w:vAlign w:val="center"/>
          </w:tcPr>
          <w:p w14:paraId="3C4684CA">
            <w:pPr>
              <w:tabs>
                <w:tab w:val="left" w:pos="5580"/>
              </w:tabs>
              <w:jc w:val="center"/>
              <w:rPr>
                <w:rFonts w:ascii="宋体" w:hAnsi="宋体" w:cs="宋体"/>
                <w:szCs w:val="21"/>
                <w:highlight w:val="yellow"/>
              </w:rPr>
            </w:pPr>
          </w:p>
        </w:tc>
        <w:tc>
          <w:tcPr>
            <w:tcW w:w="1182" w:type="pct"/>
            <w:vAlign w:val="center"/>
          </w:tcPr>
          <w:p w14:paraId="58792001">
            <w:pPr>
              <w:tabs>
                <w:tab w:val="left" w:pos="5580"/>
              </w:tabs>
              <w:jc w:val="center"/>
              <w:rPr>
                <w:rFonts w:ascii="宋体" w:hAnsi="宋体" w:cs="宋体"/>
                <w:szCs w:val="21"/>
                <w:highlight w:val="yellow"/>
              </w:rPr>
            </w:pPr>
          </w:p>
        </w:tc>
      </w:tr>
    </w:tbl>
    <w:p w14:paraId="6FB283D6">
      <w:pPr>
        <w:autoSpaceDE w:val="0"/>
        <w:autoSpaceDN w:val="0"/>
        <w:adjustRightInd w:val="0"/>
        <w:jc w:val="left"/>
        <w:rPr>
          <w:rFonts w:ascii="宋体" w:hAnsi="宋体" w:cs="宋体"/>
          <w:kern w:val="0"/>
          <w:szCs w:val="21"/>
        </w:rPr>
      </w:pPr>
    </w:p>
    <w:p w14:paraId="37281DE8">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14:paraId="6365E217">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14:paraId="761EDE9B">
      <w:pPr>
        <w:snapToGrid w:val="0"/>
        <w:spacing w:line="360" w:lineRule="auto"/>
        <w:rPr>
          <w:rFonts w:ascii="宋体" w:hAnsi="宋体"/>
          <w:szCs w:val="21"/>
        </w:rPr>
      </w:pPr>
    </w:p>
    <w:p w14:paraId="6CE20E97">
      <w:pPr>
        <w:spacing w:line="360" w:lineRule="auto"/>
        <w:rPr>
          <w:rFonts w:ascii="宋体" w:hAnsi="宋体"/>
          <w:sz w:val="24"/>
        </w:rPr>
      </w:pPr>
    </w:p>
    <w:p w14:paraId="4890E8F3">
      <w:pPr>
        <w:pStyle w:val="59"/>
      </w:pPr>
    </w:p>
    <w:p w14:paraId="64A18E90">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14:paraId="53A74EFF">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14:paraId="30291714">
      <w:pPr>
        <w:spacing w:line="500" w:lineRule="exact"/>
        <w:jc w:val="left"/>
        <w:rPr>
          <w:rFonts w:ascii="宋体" w:hAnsi="宋体" w:cs="宋体"/>
          <w:bCs/>
          <w:sz w:val="24"/>
        </w:rPr>
      </w:pPr>
    </w:p>
    <w:p w14:paraId="18A6243E">
      <w:pPr>
        <w:pStyle w:val="19"/>
        <w:rPr>
          <w:rFonts w:ascii="宋体" w:hAnsi="宋体" w:cs="宋体"/>
          <w:bCs/>
          <w:sz w:val="24"/>
        </w:rPr>
      </w:pPr>
    </w:p>
    <w:p w14:paraId="6CF05C79">
      <w:pPr>
        <w:spacing w:line="360" w:lineRule="exact"/>
        <w:jc w:val="left"/>
        <w:rPr>
          <w:color w:val="000000"/>
          <w:sz w:val="36"/>
          <w:szCs w:val="36"/>
        </w:rPr>
      </w:pPr>
      <w:r>
        <w:rPr>
          <w:rFonts w:ascii="宋体" w:hAnsi="宋体" w:cs="宋体"/>
          <w:b/>
          <w:color w:val="000000"/>
          <w:sz w:val="28"/>
        </w:rPr>
        <w:br w:type="page"/>
      </w:r>
      <w:r>
        <w:rPr>
          <w:rFonts w:hint="eastAsia" w:ascii="宋体" w:hAnsi="宋体" w:cs="宋体"/>
          <w:b/>
          <w:color w:val="000000"/>
          <w:sz w:val="28"/>
        </w:rPr>
        <w:t>附件三：</w:t>
      </w:r>
    </w:p>
    <w:p w14:paraId="65B089A6">
      <w:pPr>
        <w:jc w:val="center"/>
        <w:rPr>
          <w:b/>
          <w:color w:val="000000"/>
          <w:sz w:val="36"/>
          <w:szCs w:val="36"/>
        </w:rPr>
      </w:pPr>
      <w:r>
        <w:rPr>
          <w:rFonts w:hint="eastAsia"/>
          <w:b/>
          <w:color w:val="000000"/>
          <w:sz w:val="36"/>
          <w:szCs w:val="36"/>
        </w:rPr>
        <w:t>分项报价表</w:t>
      </w:r>
    </w:p>
    <w:p w14:paraId="0319324D">
      <w:pPr>
        <w:spacing w:line="260" w:lineRule="exact"/>
        <w:jc w:val="center"/>
        <w:rPr>
          <w:color w:val="000000"/>
          <w:sz w:val="36"/>
          <w:szCs w:val="36"/>
        </w:rPr>
      </w:pPr>
    </w:p>
    <w:p w14:paraId="10949C29">
      <w:pPr>
        <w:tabs>
          <w:tab w:val="left" w:pos="1800"/>
          <w:tab w:val="left" w:pos="5580"/>
        </w:tabs>
        <w:rPr>
          <w:color w:val="000000"/>
          <w:sz w:val="24"/>
        </w:rPr>
      </w:pPr>
      <w:r>
        <w:rPr>
          <w:color w:val="000000"/>
          <w:sz w:val="24"/>
        </w:rPr>
        <w:t>项目编号/包号：___________ 项目名称：__________报价单位：人民币元</w:t>
      </w:r>
    </w:p>
    <w:tbl>
      <w:tblPr>
        <w:tblStyle w:val="5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14:paraId="6A22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14:paraId="21431E32">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14:paraId="23D64CC7">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分项</w:t>
            </w:r>
          </w:p>
          <w:p w14:paraId="5115B3F5">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742231EF">
            <w:pPr>
              <w:widowControl/>
              <w:snapToGrid w:val="0"/>
              <w:spacing w:line="360" w:lineRule="auto"/>
              <w:jc w:val="center"/>
              <w:rPr>
                <w:rFonts w:hint="eastAsia" w:ascii="宋体" w:hAnsi="宋体" w:eastAsia="宋体" w:cs="Arial"/>
                <w:kern w:val="0"/>
                <w:sz w:val="18"/>
                <w:szCs w:val="18"/>
                <w:lang w:eastAsia="zh-CN"/>
              </w:rPr>
            </w:pPr>
            <w:r>
              <w:rPr>
                <w:rFonts w:hint="eastAsia" w:ascii="宋体" w:hAnsi="宋体" w:cs="Arial"/>
                <w:kern w:val="0"/>
                <w:sz w:val="18"/>
                <w:szCs w:val="18"/>
                <w:lang w:val="en-US" w:eastAsia="zh-CN"/>
              </w:rPr>
              <w:t>类别</w:t>
            </w:r>
          </w:p>
        </w:tc>
        <w:tc>
          <w:tcPr>
            <w:tcW w:w="1656" w:type="dxa"/>
            <w:vMerge w:val="restart"/>
            <w:tcBorders>
              <w:top w:val="single" w:color="auto" w:sz="4" w:space="0"/>
              <w:left w:val="single" w:color="auto" w:sz="4" w:space="0"/>
              <w:right w:val="single" w:color="auto" w:sz="4" w:space="0"/>
            </w:tcBorders>
            <w:vAlign w:val="center"/>
          </w:tcPr>
          <w:p w14:paraId="60DA9EE9">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14:paraId="52D1B650">
            <w:pPr>
              <w:widowControl/>
              <w:snapToGrid w:val="0"/>
              <w:spacing w:line="360" w:lineRule="auto"/>
              <w:jc w:val="center"/>
              <w:rPr>
                <w:rFonts w:hint="default" w:ascii="宋体" w:hAnsi="宋体" w:eastAsia="宋体" w:cs="Arial"/>
                <w:kern w:val="0"/>
                <w:sz w:val="18"/>
                <w:szCs w:val="18"/>
                <w:lang w:val="en-US" w:eastAsia="zh-CN"/>
              </w:rPr>
            </w:pPr>
            <w:r>
              <w:rPr>
                <w:rFonts w:hint="eastAsia" w:ascii="宋体" w:hAnsi="宋体" w:cs="Arial"/>
                <w:kern w:val="0"/>
                <w:sz w:val="18"/>
                <w:szCs w:val="18"/>
              </w:rPr>
              <w:t>数量</w:t>
            </w:r>
            <w:r>
              <w:rPr>
                <w:rFonts w:hint="eastAsia" w:ascii="宋体" w:hAnsi="宋体" w:cs="Arial"/>
                <w:kern w:val="0"/>
                <w:sz w:val="18"/>
                <w:szCs w:val="18"/>
                <w:lang w:val="en-US" w:eastAsia="zh-CN"/>
              </w:rPr>
              <w:t>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14:paraId="4FB7165A">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14:paraId="3B8B4AA1">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响应价格</w:t>
            </w:r>
          </w:p>
        </w:tc>
      </w:tr>
      <w:tr w14:paraId="0420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7F272ACF">
            <w:pPr>
              <w:widowControl/>
              <w:jc w:val="left"/>
              <w:rPr>
                <w:rFonts w:ascii="宋体" w:hAnsi="宋体" w:cs="Arial"/>
                <w:kern w:val="0"/>
                <w:sz w:val="18"/>
                <w:szCs w:val="18"/>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14:paraId="56795438">
            <w:pPr>
              <w:widowControl/>
              <w:jc w:val="left"/>
              <w:rPr>
                <w:rFonts w:ascii="宋体" w:hAnsi="宋体" w:cs="Arial"/>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6AE014A9">
            <w:pPr>
              <w:widowControl/>
              <w:jc w:val="left"/>
              <w:rPr>
                <w:rFonts w:ascii="宋体" w:hAnsi="宋体" w:cs="Arial"/>
                <w:kern w:val="0"/>
                <w:sz w:val="18"/>
                <w:szCs w:val="18"/>
              </w:rPr>
            </w:pPr>
          </w:p>
        </w:tc>
        <w:tc>
          <w:tcPr>
            <w:tcW w:w="1656" w:type="dxa"/>
            <w:vMerge w:val="continue"/>
            <w:tcBorders>
              <w:left w:val="single" w:color="auto" w:sz="4" w:space="0"/>
              <w:bottom w:val="single" w:color="auto" w:sz="4" w:space="0"/>
              <w:right w:val="single" w:color="auto" w:sz="4" w:space="0"/>
            </w:tcBorders>
            <w:vAlign w:val="center"/>
          </w:tcPr>
          <w:p w14:paraId="6FC545B0">
            <w:pPr>
              <w:widowControl/>
              <w:jc w:val="left"/>
              <w:rPr>
                <w:rFonts w:ascii="宋体" w:hAnsi="宋体" w:cs="Arial"/>
                <w:kern w:val="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6D00868C">
            <w:pPr>
              <w:widowControl/>
              <w:jc w:val="left"/>
              <w:rPr>
                <w:rFonts w:ascii="宋体" w:hAnsi="宋体" w:cs="Arial"/>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14:paraId="05DF4490">
            <w:pPr>
              <w:widowControl/>
              <w:jc w:val="left"/>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79F25EEF">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单价</w:t>
            </w:r>
          </w:p>
        </w:tc>
        <w:tc>
          <w:tcPr>
            <w:tcW w:w="1312" w:type="dxa"/>
            <w:tcBorders>
              <w:top w:val="single" w:color="auto" w:sz="4" w:space="0"/>
              <w:left w:val="single" w:color="auto" w:sz="4" w:space="0"/>
              <w:bottom w:val="single" w:color="auto" w:sz="4" w:space="0"/>
              <w:right w:val="single" w:color="auto" w:sz="4" w:space="0"/>
            </w:tcBorders>
            <w:vAlign w:val="center"/>
          </w:tcPr>
          <w:p w14:paraId="499B2E29">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合价</w:t>
            </w:r>
          </w:p>
        </w:tc>
      </w:tr>
      <w:tr w14:paraId="15EA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59DB9B33">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1</w:t>
            </w:r>
          </w:p>
        </w:tc>
        <w:tc>
          <w:tcPr>
            <w:tcW w:w="881" w:type="dxa"/>
            <w:tcBorders>
              <w:top w:val="single" w:color="auto" w:sz="4" w:space="0"/>
              <w:left w:val="single" w:color="auto" w:sz="4" w:space="0"/>
              <w:bottom w:val="single" w:color="auto" w:sz="4" w:space="0"/>
              <w:right w:val="single" w:color="auto" w:sz="4" w:space="0"/>
            </w:tcBorders>
            <w:vAlign w:val="center"/>
          </w:tcPr>
          <w:p w14:paraId="4A887BA5">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1AA2CB58">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635FC1ED">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4EBBF942">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7714DE8C">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1ECA261D">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226B9412">
            <w:pPr>
              <w:widowControl/>
              <w:snapToGrid w:val="0"/>
              <w:spacing w:line="360" w:lineRule="auto"/>
              <w:jc w:val="center"/>
              <w:rPr>
                <w:rFonts w:ascii="宋体" w:hAnsi="宋体" w:cs="Arial"/>
                <w:kern w:val="0"/>
                <w:sz w:val="18"/>
                <w:szCs w:val="18"/>
              </w:rPr>
            </w:pPr>
          </w:p>
        </w:tc>
      </w:tr>
      <w:tr w14:paraId="6B21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2C7061E0">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2</w:t>
            </w:r>
          </w:p>
        </w:tc>
        <w:tc>
          <w:tcPr>
            <w:tcW w:w="881" w:type="dxa"/>
            <w:tcBorders>
              <w:top w:val="single" w:color="auto" w:sz="4" w:space="0"/>
              <w:left w:val="single" w:color="auto" w:sz="4" w:space="0"/>
              <w:bottom w:val="single" w:color="auto" w:sz="4" w:space="0"/>
              <w:right w:val="single" w:color="auto" w:sz="4" w:space="0"/>
            </w:tcBorders>
            <w:vAlign w:val="center"/>
          </w:tcPr>
          <w:p w14:paraId="644E47B6">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31ED40F5">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5E8C4E7A">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1BB3467F">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366A4440">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616E015F">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2644B275">
            <w:pPr>
              <w:widowControl/>
              <w:snapToGrid w:val="0"/>
              <w:spacing w:line="360" w:lineRule="auto"/>
              <w:jc w:val="center"/>
              <w:rPr>
                <w:rFonts w:ascii="宋体" w:hAnsi="宋体" w:cs="Arial"/>
                <w:kern w:val="0"/>
                <w:sz w:val="18"/>
                <w:szCs w:val="18"/>
              </w:rPr>
            </w:pPr>
          </w:p>
        </w:tc>
      </w:tr>
      <w:tr w14:paraId="4F0A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4488B52F">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3</w:t>
            </w:r>
          </w:p>
        </w:tc>
        <w:tc>
          <w:tcPr>
            <w:tcW w:w="881" w:type="dxa"/>
            <w:tcBorders>
              <w:top w:val="single" w:color="auto" w:sz="4" w:space="0"/>
              <w:left w:val="single" w:color="auto" w:sz="4" w:space="0"/>
              <w:bottom w:val="single" w:color="auto" w:sz="4" w:space="0"/>
              <w:right w:val="single" w:color="auto" w:sz="4" w:space="0"/>
            </w:tcBorders>
            <w:vAlign w:val="center"/>
          </w:tcPr>
          <w:p w14:paraId="4244DE90">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10F90EE">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4D51A0E8">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670EEC20">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7CA52A2B">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4E4F49F6">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3B0DA42D">
            <w:pPr>
              <w:widowControl/>
              <w:snapToGrid w:val="0"/>
              <w:spacing w:line="360" w:lineRule="auto"/>
              <w:jc w:val="center"/>
              <w:rPr>
                <w:rFonts w:ascii="宋体" w:hAnsi="宋体" w:cs="Arial"/>
                <w:kern w:val="0"/>
                <w:sz w:val="18"/>
                <w:szCs w:val="18"/>
              </w:rPr>
            </w:pPr>
          </w:p>
        </w:tc>
      </w:tr>
      <w:tr w14:paraId="2870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4D9C99F3">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4</w:t>
            </w:r>
          </w:p>
        </w:tc>
        <w:tc>
          <w:tcPr>
            <w:tcW w:w="881" w:type="dxa"/>
            <w:tcBorders>
              <w:top w:val="single" w:color="auto" w:sz="4" w:space="0"/>
              <w:left w:val="single" w:color="auto" w:sz="4" w:space="0"/>
              <w:bottom w:val="single" w:color="auto" w:sz="4" w:space="0"/>
              <w:right w:val="single" w:color="auto" w:sz="4" w:space="0"/>
            </w:tcBorders>
            <w:vAlign w:val="center"/>
          </w:tcPr>
          <w:p w14:paraId="0E84569D">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031A9DD">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0A6C4F4F">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5294B498">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60C52AB3">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0C605C97">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6B3DE8A7">
            <w:pPr>
              <w:widowControl/>
              <w:snapToGrid w:val="0"/>
              <w:spacing w:line="360" w:lineRule="auto"/>
              <w:jc w:val="center"/>
              <w:rPr>
                <w:rFonts w:ascii="宋体" w:hAnsi="宋体" w:cs="Arial"/>
                <w:kern w:val="0"/>
                <w:sz w:val="18"/>
                <w:szCs w:val="18"/>
              </w:rPr>
            </w:pPr>
          </w:p>
        </w:tc>
      </w:tr>
      <w:tr w14:paraId="69D4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6CCF8AA0">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5</w:t>
            </w:r>
          </w:p>
        </w:tc>
        <w:tc>
          <w:tcPr>
            <w:tcW w:w="881" w:type="dxa"/>
            <w:tcBorders>
              <w:top w:val="single" w:color="auto" w:sz="4" w:space="0"/>
              <w:left w:val="single" w:color="auto" w:sz="4" w:space="0"/>
              <w:bottom w:val="single" w:color="auto" w:sz="4" w:space="0"/>
              <w:right w:val="single" w:color="auto" w:sz="4" w:space="0"/>
            </w:tcBorders>
            <w:vAlign w:val="center"/>
          </w:tcPr>
          <w:p w14:paraId="5DC8AB56">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61121C53">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48D8EB22">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3012A94D">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0D0A7829">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22E26380">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51151B5F">
            <w:pPr>
              <w:widowControl/>
              <w:snapToGrid w:val="0"/>
              <w:spacing w:line="360" w:lineRule="auto"/>
              <w:jc w:val="center"/>
              <w:rPr>
                <w:rFonts w:ascii="宋体" w:hAnsi="宋体" w:cs="Arial"/>
                <w:kern w:val="0"/>
                <w:sz w:val="18"/>
                <w:szCs w:val="18"/>
              </w:rPr>
            </w:pPr>
          </w:p>
        </w:tc>
      </w:tr>
      <w:tr w14:paraId="3EF0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0F9D2B96">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14:paraId="71A18349">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4D1C37F7">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73D2D802">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6D0F9FED">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6C5C2670">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264DADFD">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2EFFF63D">
            <w:pPr>
              <w:widowControl/>
              <w:snapToGrid w:val="0"/>
              <w:spacing w:line="360" w:lineRule="auto"/>
              <w:jc w:val="center"/>
              <w:rPr>
                <w:rFonts w:ascii="宋体" w:hAnsi="宋体" w:cs="Arial"/>
                <w:kern w:val="0"/>
                <w:sz w:val="18"/>
                <w:szCs w:val="18"/>
              </w:rPr>
            </w:pPr>
          </w:p>
        </w:tc>
      </w:tr>
      <w:tr w14:paraId="4548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14:paraId="36DCD7A4">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     计</w:t>
            </w:r>
          </w:p>
        </w:tc>
        <w:tc>
          <w:tcPr>
            <w:tcW w:w="1220" w:type="dxa"/>
            <w:tcBorders>
              <w:top w:val="single" w:color="auto" w:sz="4" w:space="0"/>
              <w:left w:val="single" w:color="auto" w:sz="4" w:space="0"/>
              <w:bottom w:val="single" w:color="auto" w:sz="4" w:space="0"/>
              <w:right w:val="single" w:color="auto" w:sz="4" w:space="0"/>
            </w:tcBorders>
            <w:vAlign w:val="center"/>
          </w:tcPr>
          <w:p w14:paraId="1F608800">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6E98DCE4">
            <w:pPr>
              <w:widowControl/>
              <w:snapToGrid w:val="0"/>
              <w:spacing w:line="360" w:lineRule="auto"/>
              <w:jc w:val="center"/>
              <w:rPr>
                <w:rFonts w:ascii="宋体" w:hAnsi="宋体" w:cs="Arial"/>
                <w:kern w:val="0"/>
                <w:sz w:val="18"/>
                <w:szCs w:val="18"/>
              </w:rPr>
            </w:pPr>
          </w:p>
        </w:tc>
      </w:tr>
    </w:tbl>
    <w:p w14:paraId="1DEE6878">
      <w:pPr>
        <w:tabs>
          <w:tab w:val="left" w:pos="1800"/>
          <w:tab w:val="left" w:pos="5580"/>
        </w:tabs>
        <w:jc w:val="left"/>
        <w:rPr>
          <w:color w:val="000000"/>
          <w:sz w:val="24"/>
        </w:rPr>
      </w:pPr>
    </w:p>
    <w:p w14:paraId="3EB4859B">
      <w:pPr>
        <w:tabs>
          <w:tab w:val="left" w:pos="1800"/>
          <w:tab w:val="left" w:pos="5580"/>
        </w:tabs>
        <w:jc w:val="left"/>
        <w:rPr>
          <w:color w:val="000000"/>
          <w:sz w:val="24"/>
        </w:rPr>
      </w:pPr>
    </w:p>
    <w:p w14:paraId="6DB3E3BB">
      <w:pPr>
        <w:tabs>
          <w:tab w:val="left" w:pos="1800"/>
          <w:tab w:val="left" w:pos="5580"/>
        </w:tabs>
        <w:jc w:val="left"/>
        <w:rPr>
          <w:color w:val="000000"/>
          <w:sz w:val="24"/>
        </w:rPr>
      </w:pPr>
      <w:r>
        <w:rPr>
          <w:color w:val="000000"/>
          <w:sz w:val="24"/>
        </w:rPr>
        <w:t>注：1.本表应按包分别填写。</w:t>
      </w:r>
    </w:p>
    <w:p w14:paraId="0A948BA7">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14:paraId="0AFE232A">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14:paraId="73B587C0">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14:paraId="313275D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2C7B36D">
      <w:pPr>
        <w:autoSpaceDE w:val="0"/>
        <w:autoSpaceDN w:val="0"/>
        <w:adjustRightInd w:val="0"/>
        <w:snapToGrid w:val="0"/>
        <w:spacing w:before="25" w:after="25" w:line="360" w:lineRule="auto"/>
        <w:jc w:val="right"/>
        <w:rPr>
          <w:color w:val="000000"/>
          <w:sz w:val="24"/>
        </w:rPr>
      </w:pPr>
    </w:p>
    <w:p w14:paraId="69BD4DA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5687DDDB">
      <w:pPr>
        <w:spacing w:line="500" w:lineRule="exact"/>
        <w:jc w:val="right"/>
        <w:rPr>
          <w:rFonts w:ascii="宋体" w:hAnsi="宋体" w:cs="宋体"/>
          <w:bCs/>
          <w:sz w:val="24"/>
        </w:rPr>
      </w:pPr>
      <w:r>
        <w:rPr>
          <w:color w:val="000000"/>
          <w:sz w:val="24"/>
          <w:szCs w:val="20"/>
        </w:rPr>
        <w:t xml:space="preserve">日期：_____年______月______日  </w:t>
      </w:r>
    </w:p>
    <w:p w14:paraId="6C6A2992">
      <w:pPr>
        <w:pStyle w:val="19"/>
        <w:rPr>
          <w:rFonts w:ascii="宋体" w:hAnsi="宋体" w:cs="宋体"/>
          <w:bCs/>
          <w:sz w:val="24"/>
        </w:rPr>
      </w:pPr>
    </w:p>
    <w:p w14:paraId="2CE869C3">
      <w:pPr>
        <w:pStyle w:val="19"/>
        <w:rPr>
          <w:rFonts w:ascii="宋体" w:hAnsi="宋体" w:cs="宋体"/>
          <w:bCs/>
          <w:sz w:val="24"/>
        </w:rPr>
      </w:pPr>
    </w:p>
    <w:p w14:paraId="45744FAC">
      <w:pPr>
        <w:spacing w:line="560" w:lineRule="exact"/>
        <w:jc w:val="left"/>
        <w:rPr>
          <w:rFonts w:ascii="黑体" w:hAnsi="黑体" w:eastAsia="黑体"/>
          <w:color w:val="000000"/>
          <w:sz w:val="32"/>
          <w:szCs w:val="32"/>
        </w:rPr>
      </w:pPr>
    </w:p>
    <w:p w14:paraId="28B46E33">
      <w:pPr>
        <w:spacing w:line="560" w:lineRule="exact"/>
        <w:jc w:val="left"/>
        <w:rPr>
          <w:rFonts w:ascii="黑体" w:hAnsi="黑体" w:eastAsia="黑体"/>
          <w:color w:val="000000"/>
          <w:sz w:val="32"/>
          <w:szCs w:val="32"/>
        </w:rPr>
      </w:pPr>
    </w:p>
    <w:p w14:paraId="7BBC3132">
      <w:pPr>
        <w:spacing w:line="560" w:lineRule="exact"/>
        <w:jc w:val="left"/>
        <w:rPr>
          <w:rFonts w:ascii="黑体" w:hAnsi="黑体" w:eastAsia="黑体"/>
          <w:color w:val="000000"/>
          <w:sz w:val="32"/>
          <w:szCs w:val="32"/>
        </w:rPr>
      </w:pPr>
    </w:p>
    <w:p w14:paraId="1DEC258D">
      <w:pPr>
        <w:spacing w:line="560" w:lineRule="exact"/>
        <w:jc w:val="left"/>
        <w:rPr>
          <w:rFonts w:ascii="黑体" w:hAnsi="黑体" w:eastAsia="黑体"/>
          <w:color w:val="000000"/>
          <w:sz w:val="32"/>
          <w:szCs w:val="32"/>
        </w:rPr>
      </w:pPr>
    </w:p>
    <w:p w14:paraId="39F30B7E">
      <w:pPr>
        <w:spacing w:line="560" w:lineRule="exact"/>
        <w:jc w:val="left"/>
        <w:rPr>
          <w:rFonts w:ascii="黑体" w:hAnsi="黑体" w:eastAsia="黑体"/>
          <w:color w:val="000000"/>
          <w:sz w:val="32"/>
          <w:szCs w:val="32"/>
        </w:rPr>
      </w:pPr>
    </w:p>
    <w:p w14:paraId="04F397B8">
      <w:pPr>
        <w:spacing w:line="360" w:lineRule="exact"/>
        <w:jc w:val="left"/>
        <w:rPr>
          <w:rFonts w:hint="eastAsia" w:ascii="宋体" w:hAnsi="宋体" w:cs="宋体"/>
          <w:b/>
          <w:color w:val="000000"/>
          <w:sz w:val="28"/>
        </w:rPr>
      </w:pPr>
    </w:p>
    <w:p w14:paraId="7420BE78">
      <w:pPr>
        <w:spacing w:line="360" w:lineRule="exact"/>
        <w:jc w:val="left"/>
        <w:rPr>
          <w:rFonts w:hint="eastAsia" w:ascii="宋体" w:hAnsi="宋体" w:cs="宋体"/>
          <w:b/>
          <w:color w:val="000000"/>
          <w:sz w:val="28"/>
        </w:rPr>
      </w:pPr>
    </w:p>
    <w:p w14:paraId="7DBB4B9A">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14:paraId="7244EEF4">
      <w:pPr>
        <w:spacing w:line="360" w:lineRule="auto"/>
        <w:jc w:val="left"/>
        <w:rPr>
          <w:rFonts w:ascii="宋体" w:hAnsi="宋体" w:eastAsia="宋体" w:cs="Times New Roman"/>
          <w:b/>
          <w:sz w:val="24"/>
        </w:rPr>
      </w:pPr>
      <w:r>
        <w:rPr>
          <w:rFonts w:hint="eastAsia" w:ascii="宋体" w:hAnsi="宋体" w:eastAsia="宋体" w:cs="Times New Roman"/>
          <w:b/>
          <w:sz w:val="24"/>
        </w:rPr>
        <w:t>一</w:t>
      </w:r>
      <w:r>
        <w:rPr>
          <w:rFonts w:ascii="宋体" w:hAnsi="宋体" w:eastAsia="宋体" w:cs="Times New Roman"/>
          <w:b/>
          <w:sz w:val="24"/>
        </w:rPr>
        <w:t>、</w:t>
      </w:r>
      <w:r>
        <w:rPr>
          <w:rFonts w:hint="eastAsia" w:ascii="宋体" w:hAnsi="宋体" w:eastAsia="宋体" w:cs="Times New Roman"/>
          <w:b/>
          <w:sz w:val="24"/>
        </w:rPr>
        <w:t>评审办法</w:t>
      </w:r>
    </w:p>
    <w:p w14:paraId="16BFD401">
      <w:pPr>
        <w:spacing w:line="360" w:lineRule="auto"/>
        <w:jc w:val="left"/>
        <w:rPr>
          <w:rFonts w:ascii="宋体" w:hAnsi="宋体" w:eastAsia="宋体" w:cs="宋体"/>
          <w:sz w:val="24"/>
        </w:rPr>
      </w:pPr>
      <w:r>
        <w:rPr>
          <w:rFonts w:hint="eastAsia" w:ascii="宋体" w:hAnsi="宋体" w:eastAsia="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14:paraId="2A399ACE">
      <w:pPr>
        <w:spacing w:line="360" w:lineRule="auto"/>
        <w:jc w:val="left"/>
        <w:rPr>
          <w:rFonts w:ascii="宋体" w:hAnsi="宋体" w:eastAsia="宋体" w:cs="宋体"/>
          <w:sz w:val="24"/>
        </w:rPr>
      </w:pPr>
      <w:r>
        <w:rPr>
          <w:rFonts w:hint="eastAsia" w:ascii="宋体" w:hAnsi="宋体" w:eastAsia="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14:paraId="6F718AED">
      <w:pPr>
        <w:spacing w:line="360" w:lineRule="auto"/>
        <w:jc w:val="left"/>
        <w:rPr>
          <w:rFonts w:ascii="宋体" w:hAnsi="宋体" w:eastAsia="宋体" w:cs="宋体"/>
          <w:sz w:val="24"/>
          <w:lang w:val="zh-CN"/>
        </w:rPr>
      </w:pPr>
      <w:r>
        <w:rPr>
          <w:rFonts w:hint="eastAsia" w:ascii="宋体" w:hAnsi="宋体" w:eastAsia="宋体" w:cs="宋体"/>
          <w:sz w:val="24"/>
        </w:rPr>
        <w:t xml:space="preserve">     </w:t>
      </w:r>
      <w:r>
        <w:rPr>
          <w:rFonts w:hint="eastAsia" w:ascii="宋体" w:hAnsi="宋体" w:eastAsia="宋体" w:cs="宋体"/>
          <w:sz w:val="24"/>
          <w:lang w:val="zh-CN"/>
        </w:rPr>
        <w:t>注：每部分的得分保留小数点后两位，合计得分保留小数点后两位。</w:t>
      </w:r>
    </w:p>
    <w:p w14:paraId="16E3D51B">
      <w:pPr>
        <w:keepNext/>
        <w:keepLines/>
        <w:spacing w:line="360" w:lineRule="auto"/>
        <w:jc w:val="left"/>
        <w:outlineLvl w:val="1"/>
        <w:rPr>
          <w:rFonts w:hint="eastAsia"/>
          <w:b/>
          <w:color w:val="000000"/>
          <w:sz w:val="24"/>
          <w:szCs w:val="24"/>
        </w:rPr>
      </w:pPr>
      <w:r>
        <w:rPr>
          <w:rFonts w:ascii="Times New Roman" w:hAnsi="Times New Roman" w:eastAsia="宋体" w:cs="Times New Roman"/>
          <w:b/>
          <w:sz w:val="24"/>
          <w:szCs w:val="24"/>
        </w:rPr>
        <w:t>二、评</w:t>
      </w:r>
      <w:r>
        <w:rPr>
          <w:rFonts w:hint="eastAsia" w:cs="Times New Roman"/>
          <w:b/>
          <w:sz w:val="24"/>
          <w:szCs w:val="24"/>
          <w:lang w:val="en-US" w:eastAsia="zh-CN"/>
        </w:rPr>
        <w:t>分</w:t>
      </w:r>
      <w:r>
        <w:rPr>
          <w:rFonts w:ascii="Times New Roman" w:hAnsi="Times New Roman" w:eastAsia="宋体" w:cs="Times New Roman"/>
          <w:b/>
          <w:sz w:val="24"/>
          <w:szCs w:val="24"/>
        </w:rPr>
        <w:t>标准</w:t>
      </w:r>
    </w:p>
    <w:tbl>
      <w:tblPr>
        <w:tblStyle w:val="50"/>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938"/>
        <w:gridCol w:w="5860"/>
        <w:gridCol w:w="769"/>
      </w:tblGrid>
      <w:tr w14:paraId="07FD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1" w:type="dxa"/>
            <w:tcBorders>
              <w:top w:val="single" w:color="auto" w:sz="4" w:space="0"/>
              <w:left w:val="single" w:color="auto" w:sz="4" w:space="0"/>
              <w:bottom w:val="single" w:color="auto" w:sz="4" w:space="0"/>
              <w:right w:val="single" w:color="auto" w:sz="4" w:space="0"/>
            </w:tcBorders>
            <w:vAlign w:val="center"/>
          </w:tcPr>
          <w:p w14:paraId="47BB0C16">
            <w:pPr>
              <w:jc w:val="center"/>
              <w:rPr>
                <w:rFonts w:ascii="宋体" w:hAnsi="宋体" w:cs="宋体"/>
                <w:b/>
                <w:sz w:val="21"/>
                <w:szCs w:val="21"/>
              </w:rPr>
            </w:pPr>
            <w:r>
              <w:rPr>
                <w:rFonts w:hint="eastAsia" w:ascii="宋体" w:hAnsi="宋体" w:cs="宋体"/>
                <w:b/>
                <w:sz w:val="21"/>
                <w:szCs w:val="21"/>
              </w:rPr>
              <w:t>序号</w:t>
            </w:r>
          </w:p>
        </w:tc>
        <w:tc>
          <w:tcPr>
            <w:tcW w:w="6798" w:type="dxa"/>
            <w:gridSpan w:val="2"/>
            <w:tcBorders>
              <w:top w:val="single" w:color="auto" w:sz="4" w:space="0"/>
              <w:left w:val="single" w:color="auto" w:sz="4" w:space="0"/>
              <w:bottom w:val="single" w:color="auto" w:sz="4" w:space="0"/>
              <w:right w:val="single" w:color="auto" w:sz="4" w:space="0"/>
            </w:tcBorders>
            <w:vAlign w:val="center"/>
          </w:tcPr>
          <w:p w14:paraId="14BA7283">
            <w:pPr>
              <w:jc w:val="center"/>
              <w:rPr>
                <w:rFonts w:ascii="宋体" w:hAnsi="宋体" w:cs="宋体"/>
                <w:b/>
                <w:kern w:val="0"/>
                <w:sz w:val="21"/>
                <w:szCs w:val="21"/>
              </w:rPr>
            </w:pPr>
            <w:r>
              <w:rPr>
                <w:rFonts w:hint="eastAsia" w:ascii="宋体" w:hAnsi="宋体" w:cs="宋体"/>
                <w:b/>
                <w:kern w:val="0"/>
                <w:sz w:val="21"/>
                <w:szCs w:val="21"/>
              </w:rPr>
              <w:t>评分要求</w:t>
            </w:r>
          </w:p>
        </w:tc>
        <w:tc>
          <w:tcPr>
            <w:tcW w:w="769" w:type="dxa"/>
            <w:tcBorders>
              <w:top w:val="single" w:color="auto" w:sz="4" w:space="0"/>
              <w:left w:val="single" w:color="auto" w:sz="4" w:space="0"/>
              <w:bottom w:val="single" w:color="auto" w:sz="4" w:space="0"/>
              <w:right w:val="single" w:color="auto" w:sz="4" w:space="0"/>
            </w:tcBorders>
            <w:vAlign w:val="center"/>
          </w:tcPr>
          <w:p w14:paraId="38CDB1E4">
            <w:pPr>
              <w:jc w:val="center"/>
              <w:rPr>
                <w:rFonts w:ascii="宋体" w:hAnsi="宋体" w:cs="宋体"/>
                <w:sz w:val="21"/>
                <w:szCs w:val="21"/>
              </w:rPr>
            </w:pPr>
            <w:r>
              <w:rPr>
                <w:rFonts w:hint="eastAsia" w:ascii="宋体" w:hAnsi="宋体" w:cs="宋体"/>
                <w:b/>
                <w:sz w:val="21"/>
                <w:szCs w:val="21"/>
              </w:rPr>
              <w:t>得分</w:t>
            </w:r>
          </w:p>
        </w:tc>
      </w:tr>
      <w:tr w14:paraId="65FF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851" w:type="dxa"/>
            <w:tcBorders>
              <w:top w:val="single" w:color="auto" w:sz="4" w:space="0"/>
              <w:left w:val="single" w:color="auto" w:sz="4" w:space="0"/>
              <w:bottom w:val="single" w:color="auto" w:sz="4" w:space="0"/>
              <w:right w:val="single" w:color="auto" w:sz="4" w:space="0"/>
            </w:tcBorders>
            <w:vAlign w:val="center"/>
          </w:tcPr>
          <w:p w14:paraId="44962821">
            <w:pPr>
              <w:jc w:val="center"/>
              <w:rPr>
                <w:rFonts w:ascii="宋体" w:hAnsi="宋体" w:cs="宋体"/>
                <w:b/>
                <w:sz w:val="21"/>
                <w:szCs w:val="21"/>
              </w:rPr>
            </w:pPr>
            <w:r>
              <w:rPr>
                <w:rFonts w:hint="eastAsia" w:ascii="宋体" w:hAnsi="宋体" w:cs="宋体"/>
                <w:b/>
                <w:sz w:val="21"/>
                <w:szCs w:val="21"/>
              </w:rPr>
              <w:t>价格分</w:t>
            </w:r>
          </w:p>
          <w:p w14:paraId="13E427EB">
            <w:pPr>
              <w:jc w:val="center"/>
              <w:rPr>
                <w:rFonts w:ascii="宋体" w:hAnsi="宋体" w:cs="宋体"/>
                <w:b/>
                <w:sz w:val="21"/>
                <w:szCs w:val="21"/>
              </w:rPr>
            </w:pPr>
            <w:r>
              <w:rPr>
                <w:rFonts w:hint="eastAsia" w:ascii="宋体" w:hAnsi="宋体" w:cs="宋体"/>
                <w:b/>
                <w:sz w:val="21"/>
                <w:szCs w:val="21"/>
              </w:rPr>
              <w:t>（1</w:t>
            </w:r>
            <w:r>
              <w:rPr>
                <w:rFonts w:hint="eastAsia" w:ascii="宋体" w:hAnsi="宋体" w:cs="宋体"/>
                <w:b/>
                <w:sz w:val="21"/>
                <w:szCs w:val="21"/>
                <w:lang w:val="en-US" w:eastAsia="zh-CN"/>
              </w:rPr>
              <w:t>5</w:t>
            </w:r>
            <w:r>
              <w:rPr>
                <w:rFonts w:hint="eastAsia" w:ascii="宋体" w:hAnsi="宋体" w:cs="宋体"/>
                <w:b/>
                <w:sz w:val="21"/>
                <w:szCs w:val="21"/>
              </w:rPr>
              <w:t>）</w:t>
            </w:r>
          </w:p>
        </w:tc>
        <w:tc>
          <w:tcPr>
            <w:tcW w:w="6798" w:type="dxa"/>
            <w:gridSpan w:val="2"/>
            <w:tcBorders>
              <w:top w:val="single" w:color="auto" w:sz="4" w:space="0"/>
              <w:left w:val="single" w:color="auto" w:sz="4" w:space="0"/>
              <w:bottom w:val="single" w:color="auto" w:sz="4" w:space="0"/>
              <w:right w:val="single" w:color="auto" w:sz="4" w:space="0"/>
            </w:tcBorders>
            <w:vAlign w:val="center"/>
          </w:tcPr>
          <w:p w14:paraId="0052FB5D">
            <w:pPr>
              <w:pStyle w:val="46"/>
              <w:spacing w:after="312"/>
              <w:jc w:val="both"/>
              <w:rPr>
                <w:rFonts w:ascii="宋体" w:hAnsi="宋体" w:cs="宋体"/>
                <w:sz w:val="21"/>
                <w:szCs w:val="21"/>
              </w:rPr>
            </w:pPr>
            <w:r>
              <w:rPr>
                <w:rFonts w:hint="eastAsia" w:ascii="宋体" w:hAnsi="宋体" w:eastAsia="宋体" w:cs="宋体"/>
                <w:kern w:val="2"/>
                <w:sz w:val="21"/>
                <w:szCs w:val="21"/>
                <w:lang w:val="en-US" w:eastAsia="zh-CN" w:bidi="ar-SA"/>
              </w:rPr>
              <w:t>满足招标文件要求且价格最低的投标价为基准价，其价格分为满分。其他投标人的价格分统一按照下列公式计算：投标报价得分=（评标基准价/磋商报价）×15，小数点后保留2位。</w:t>
            </w:r>
          </w:p>
        </w:tc>
        <w:tc>
          <w:tcPr>
            <w:tcW w:w="769" w:type="dxa"/>
            <w:tcBorders>
              <w:top w:val="single" w:color="auto" w:sz="4" w:space="0"/>
              <w:left w:val="single" w:color="auto" w:sz="4" w:space="0"/>
              <w:bottom w:val="single" w:color="auto" w:sz="4" w:space="0"/>
              <w:right w:val="single" w:color="auto" w:sz="4" w:space="0"/>
            </w:tcBorders>
            <w:vAlign w:val="center"/>
          </w:tcPr>
          <w:p w14:paraId="023CAA05">
            <w:pPr>
              <w:jc w:val="center"/>
              <w:rPr>
                <w:rFonts w:hint="eastAsia" w:ascii="宋体" w:hAnsi="宋体" w:eastAsia="宋体" w:cs="宋体"/>
                <w:sz w:val="21"/>
                <w:szCs w:val="21"/>
                <w:lang w:val="en-US" w:eastAsia="zh-CN"/>
              </w:rPr>
            </w:pPr>
            <w:r>
              <w:rPr>
                <w:rFonts w:hint="eastAsia" w:ascii="宋体" w:hAnsi="宋体" w:cs="宋体"/>
                <w:sz w:val="21"/>
                <w:szCs w:val="21"/>
              </w:rPr>
              <w:t>1</w:t>
            </w:r>
            <w:r>
              <w:rPr>
                <w:rFonts w:hint="eastAsia" w:ascii="宋体" w:hAnsi="宋体" w:cs="宋体"/>
                <w:sz w:val="21"/>
                <w:szCs w:val="21"/>
                <w:lang w:val="en-US" w:eastAsia="zh-CN"/>
              </w:rPr>
              <w:t>5</w:t>
            </w:r>
          </w:p>
        </w:tc>
      </w:tr>
      <w:tr w14:paraId="053A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851" w:type="dxa"/>
            <w:vMerge w:val="restart"/>
            <w:tcBorders>
              <w:top w:val="single" w:color="auto" w:sz="4" w:space="0"/>
              <w:left w:val="single" w:color="auto" w:sz="4" w:space="0"/>
              <w:right w:val="single" w:color="auto" w:sz="4" w:space="0"/>
            </w:tcBorders>
            <w:vAlign w:val="center"/>
          </w:tcPr>
          <w:p w14:paraId="6BF35DE6">
            <w:pPr>
              <w:jc w:val="center"/>
              <w:rPr>
                <w:rFonts w:ascii="宋体" w:hAnsi="宋体" w:cs="宋体"/>
                <w:b/>
                <w:sz w:val="21"/>
                <w:szCs w:val="21"/>
              </w:rPr>
            </w:pPr>
            <w:r>
              <w:rPr>
                <w:rFonts w:hint="eastAsia" w:ascii="宋体" w:hAnsi="宋体" w:cs="宋体"/>
                <w:b/>
                <w:sz w:val="21"/>
                <w:szCs w:val="21"/>
              </w:rPr>
              <w:t>技术部分</w:t>
            </w:r>
          </w:p>
          <w:p w14:paraId="5C2B03F1">
            <w:pPr>
              <w:jc w:val="center"/>
              <w:rPr>
                <w:rFonts w:ascii="宋体" w:hAnsi="宋体" w:cs="宋体"/>
                <w:b/>
                <w:sz w:val="21"/>
                <w:szCs w:val="21"/>
              </w:rPr>
            </w:pPr>
            <w:r>
              <w:rPr>
                <w:rFonts w:hint="eastAsia" w:ascii="宋体" w:hAnsi="宋体" w:cs="宋体"/>
                <w:b/>
                <w:sz w:val="21"/>
                <w:szCs w:val="21"/>
              </w:rPr>
              <w:t>（</w:t>
            </w:r>
            <w:r>
              <w:rPr>
                <w:rFonts w:hint="eastAsia" w:ascii="宋体" w:hAnsi="宋体" w:cs="宋体"/>
                <w:b/>
                <w:sz w:val="21"/>
                <w:szCs w:val="21"/>
                <w:lang w:val="en-US" w:eastAsia="zh-CN"/>
              </w:rPr>
              <w:t>50</w:t>
            </w:r>
            <w:r>
              <w:rPr>
                <w:rFonts w:hint="eastAsia" w:ascii="宋体" w:hAnsi="宋体" w:cs="宋体"/>
                <w:b/>
                <w:sz w:val="21"/>
                <w:szCs w:val="21"/>
              </w:rPr>
              <w:t>分）</w:t>
            </w:r>
          </w:p>
        </w:tc>
        <w:tc>
          <w:tcPr>
            <w:tcW w:w="938" w:type="dxa"/>
            <w:tcBorders>
              <w:top w:val="single" w:color="auto" w:sz="4" w:space="0"/>
              <w:left w:val="single" w:color="auto" w:sz="4" w:space="0"/>
              <w:bottom w:val="single" w:color="auto" w:sz="4" w:space="0"/>
              <w:right w:val="single" w:color="auto" w:sz="4" w:space="0"/>
            </w:tcBorders>
            <w:vAlign w:val="center"/>
          </w:tcPr>
          <w:p w14:paraId="5AD3767D">
            <w:pPr>
              <w:jc w:val="center"/>
              <w:rPr>
                <w:rFonts w:ascii="宋体" w:hAnsi="宋体" w:cs="宋体"/>
                <w:sz w:val="21"/>
                <w:szCs w:val="21"/>
              </w:rPr>
            </w:pPr>
            <w:r>
              <w:rPr>
                <w:rFonts w:hint="eastAsia" w:ascii="宋体" w:hAnsi="宋体" w:cs="宋体"/>
                <w:sz w:val="21"/>
                <w:szCs w:val="21"/>
              </w:rPr>
              <w:t>服务技术方案</w:t>
            </w:r>
          </w:p>
          <w:p w14:paraId="391B763E">
            <w:pPr>
              <w:pStyle w:val="324"/>
              <w:rPr>
                <w:sz w:val="21"/>
                <w:szCs w:val="21"/>
              </w:rPr>
            </w:pPr>
          </w:p>
          <w:p w14:paraId="61293205">
            <w:pPr>
              <w:pStyle w:val="324"/>
              <w:rPr>
                <w:rFonts w:ascii="宋体" w:hAnsi="宋体" w:cs="宋体"/>
                <w:bCs/>
                <w:strike/>
                <w:sz w:val="21"/>
                <w:szCs w:val="21"/>
              </w:rPr>
            </w:pPr>
          </w:p>
        </w:tc>
        <w:tc>
          <w:tcPr>
            <w:tcW w:w="5860" w:type="dxa"/>
            <w:tcBorders>
              <w:top w:val="single" w:color="auto" w:sz="4" w:space="0"/>
              <w:left w:val="single" w:color="auto" w:sz="4" w:space="0"/>
              <w:bottom w:val="single" w:color="auto" w:sz="4" w:space="0"/>
              <w:right w:val="single" w:color="auto" w:sz="4" w:space="0"/>
            </w:tcBorders>
          </w:tcPr>
          <w:p w14:paraId="7C751542">
            <w:pPr>
              <w:spacing w:line="360" w:lineRule="exact"/>
              <w:rPr>
                <w:rFonts w:ascii="宋体" w:hAnsi="宋体" w:cs="宋体"/>
                <w:sz w:val="21"/>
                <w:szCs w:val="21"/>
              </w:rPr>
            </w:pPr>
            <w:r>
              <w:rPr>
                <w:rFonts w:hint="eastAsia" w:ascii="宋体" w:hAnsi="宋体" w:cs="宋体"/>
                <w:sz w:val="21"/>
                <w:szCs w:val="21"/>
              </w:rPr>
              <w:t>评审内容:1.技术方案合理性；2.关键技术点应对；3.服务流程完整性；</w:t>
            </w:r>
          </w:p>
          <w:p w14:paraId="22364082">
            <w:pPr>
              <w:spacing w:line="360" w:lineRule="exact"/>
              <w:rPr>
                <w:rFonts w:ascii="宋体" w:hAnsi="宋体" w:cs="宋体"/>
                <w:sz w:val="21"/>
                <w:szCs w:val="21"/>
              </w:rPr>
            </w:pPr>
            <w:r>
              <w:rPr>
                <w:rFonts w:hint="eastAsia" w:ascii="宋体" w:hAnsi="宋体" w:cs="宋体"/>
                <w:sz w:val="21"/>
                <w:szCs w:val="21"/>
              </w:rPr>
              <w:t>（1）服务技术方案总体完整合理，提出了较多关键技术点及应对措施，服务流程规范完整，得</w:t>
            </w:r>
            <w:r>
              <w:rPr>
                <w:rFonts w:hint="eastAsia" w:ascii="宋体" w:hAnsi="宋体" w:cs="宋体"/>
                <w:sz w:val="21"/>
                <w:szCs w:val="21"/>
                <w:lang w:val="en-US" w:eastAsia="zh-CN"/>
              </w:rPr>
              <w:t>19</w:t>
            </w:r>
            <w:r>
              <w:rPr>
                <w:rFonts w:hint="eastAsia" w:ascii="宋体" w:hAnsi="宋体" w:cs="宋体"/>
                <w:sz w:val="21"/>
                <w:szCs w:val="21"/>
              </w:rPr>
              <w:t>-2</w:t>
            </w:r>
            <w:r>
              <w:rPr>
                <w:rFonts w:hint="eastAsia" w:ascii="宋体" w:hAnsi="宋体" w:cs="宋体"/>
                <w:sz w:val="21"/>
                <w:szCs w:val="21"/>
                <w:lang w:val="en-US" w:eastAsia="zh-CN"/>
              </w:rPr>
              <w:t>5</w:t>
            </w:r>
            <w:r>
              <w:rPr>
                <w:rFonts w:hint="eastAsia" w:ascii="宋体" w:hAnsi="宋体" w:cs="宋体"/>
                <w:sz w:val="21"/>
                <w:szCs w:val="21"/>
              </w:rPr>
              <w:t>分；</w:t>
            </w:r>
          </w:p>
          <w:p w14:paraId="1CE5B30F">
            <w:pPr>
              <w:spacing w:line="360" w:lineRule="exact"/>
              <w:rPr>
                <w:rFonts w:ascii="宋体" w:hAnsi="宋体" w:cs="宋体"/>
                <w:sz w:val="21"/>
                <w:szCs w:val="21"/>
              </w:rPr>
            </w:pPr>
            <w:r>
              <w:rPr>
                <w:rFonts w:hint="eastAsia" w:ascii="宋体" w:hAnsi="宋体" w:cs="宋体"/>
                <w:sz w:val="21"/>
                <w:szCs w:val="21"/>
              </w:rPr>
              <w:t>（2）服务技术方案基本合理，提供了关键技术点及应对措施，服务流程较为完整，得</w:t>
            </w:r>
            <w:r>
              <w:rPr>
                <w:rFonts w:hint="eastAsia" w:ascii="宋体" w:hAnsi="宋体" w:cs="宋体"/>
                <w:sz w:val="21"/>
                <w:szCs w:val="21"/>
                <w:lang w:val="en-US" w:eastAsia="zh-CN"/>
              </w:rPr>
              <w:t>10</w:t>
            </w:r>
            <w:r>
              <w:rPr>
                <w:rFonts w:hint="eastAsia" w:ascii="宋体" w:hAnsi="宋体" w:cs="宋体"/>
                <w:sz w:val="21"/>
                <w:szCs w:val="21"/>
              </w:rPr>
              <w:t>-</w:t>
            </w:r>
            <w:r>
              <w:rPr>
                <w:rFonts w:hint="eastAsia" w:ascii="宋体" w:hAnsi="宋体" w:cs="宋体"/>
                <w:sz w:val="21"/>
                <w:szCs w:val="21"/>
                <w:lang w:val="en-US" w:eastAsia="zh-CN"/>
              </w:rPr>
              <w:t>18</w:t>
            </w:r>
            <w:r>
              <w:rPr>
                <w:rFonts w:hint="eastAsia" w:ascii="宋体" w:hAnsi="宋体" w:cs="宋体"/>
                <w:sz w:val="21"/>
                <w:szCs w:val="21"/>
              </w:rPr>
              <w:t>分；</w:t>
            </w:r>
          </w:p>
          <w:p w14:paraId="125E30A9">
            <w:pPr>
              <w:spacing w:line="360" w:lineRule="exact"/>
              <w:rPr>
                <w:rFonts w:ascii="宋体" w:hAnsi="宋体" w:cs="宋体"/>
                <w:sz w:val="21"/>
                <w:szCs w:val="21"/>
              </w:rPr>
            </w:pPr>
            <w:r>
              <w:rPr>
                <w:rFonts w:hint="eastAsia" w:ascii="宋体" w:hAnsi="宋体" w:cs="宋体"/>
                <w:sz w:val="21"/>
                <w:szCs w:val="21"/>
              </w:rPr>
              <w:t>（3）服务技术方案存在不合理内容，未提供关键技术点及应对措施，服务流程不完整，得1-</w:t>
            </w:r>
            <w:r>
              <w:rPr>
                <w:rFonts w:hint="eastAsia" w:ascii="宋体" w:hAnsi="宋体" w:cs="宋体"/>
                <w:sz w:val="21"/>
                <w:szCs w:val="21"/>
                <w:lang w:val="en-US" w:eastAsia="zh-CN"/>
              </w:rPr>
              <w:t>9</w:t>
            </w:r>
            <w:r>
              <w:rPr>
                <w:rFonts w:hint="eastAsia" w:ascii="宋体" w:hAnsi="宋体" w:cs="宋体"/>
                <w:sz w:val="21"/>
                <w:szCs w:val="21"/>
              </w:rPr>
              <w:t>分；</w:t>
            </w:r>
          </w:p>
          <w:p w14:paraId="7717BE55">
            <w:pPr>
              <w:rPr>
                <w:rFonts w:ascii="宋体" w:hAnsi="宋体" w:cs="宋体"/>
                <w:strike/>
                <w:sz w:val="21"/>
                <w:szCs w:val="21"/>
              </w:rPr>
            </w:pPr>
            <w:r>
              <w:rPr>
                <w:rFonts w:hint="eastAsia" w:ascii="宋体" w:hAnsi="宋体" w:cs="宋体"/>
                <w:sz w:val="21"/>
                <w:szCs w:val="21"/>
              </w:rPr>
              <w:t>（4）未提供相应内容的不得分。</w:t>
            </w:r>
          </w:p>
        </w:tc>
        <w:tc>
          <w:tcPr>
            <w:tcW w:w="769" w:type="dxa"/>
            <w:tcBorders>
              <w:top w:val="single" w:color="auto" w:sz="4" w:space="0"/>
              <w:left w:val="single" w:color="auto" w:sz="4" w:space="0"/>
              <w:bottom w:val="single" w:color="auto" w:sz="4" w:space="0"/>
              <w:right w:val="single" w:color="auto" w:sz="4" w:space="0"/>
            </w:tcBorders>
            <w:vAlign w:val="center"/>
          </w:tcPr>
          <w:p w14:paraId="52EDAC0B">
            <w:pPr>
              <w:jc w:val="center"/>
              <w:rPr>
                <w:rFonts w:hint="default" w:ascii="宋体" w:hAnsi="宋体" w:eastAsia="宋体" w:cs="宋体"/>
                <w:strike/>
                <w:sz w:val="21"/>
                <w:szCs w:val="21"/>
                <w:lang w:val="en-US" w:eastAsia="zh-CN"/>
              </w:rPr>
            </w:pPr>
            <w:r>
              <w:rPr>
                <w:rFonts w:hint="eastAsia" w:ascii="宋体" w:hAnsi="宋体" w:cs="宋体"/>
                <w:sz w:val="21"/>
                <w:szCs w:val="21"/>
                <w:lang w:val="en-US" w:eastAsia="zh-CN"/>
              </w:rPr>
              <w:t>25</w:t>
            </w:r>
          </w:p>
        </w:tc>
      </w:tr>
      <w:tr w14:paraId="072D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851" w:type="dxa"/>
            <w:vMerge w:val="continue"/>
            <w:tcBorders>
              <w:left w:val="single" w:color="auto" w:sz="4" w:space="0"/>
              <w:right w:val="single" w:color="auto" w:sz="4" w:space="0"/>
            </w:tcBorders>
            <w:vAlign w:val="center"/>
          </w:tcPr>
          <w:p w14:paraId="22EAC2E1">
            <w:pPr>
              <w:jc w:val="center"/>
              <w:rPr>
                <w:rFonts w:ascii="宋体" w:hAnsi="宋体" w:cs="宋体"/>
                <w:b/>
                <w:sz w:val="21"/>
                <w:szCs w:val="21"/>
              </w:rPr>
            </w:pPr>
          </w:p>
        </w:tc>
        <w:tc>
          <w:tcPr>
            <w:tcW w:w="938" w:type="dxa"/>
            <w:tcBorders>
              <w:top w:val="single" w:color="auto" w:sz="4" w:space="0"/>
              <w:left w:val="single" w:color="auto" w:sz="4" w:space="0"/>
              <w:bottom w:val="single" w:color="auto" w:sz="4" w:space="0"/>
              <w:right w:val="single" w:color="auto" w:sz="4" w:space="0"/>
            </w:tcBorders>
            <w:vAlign w:val="center"/>
          </w:tcPr>
          <w:p w14:paraId="2C19528C">
            <w:pPr>
              <w:jc w:val="center"/>
              <w:rPr>
                <w:sz w:val="21"/>
                <w:szCs w:val="21"/>
              </w:rPr>
            </w:pPr>
            <w:r>
              <w:rPr>
                <w:rFonts w:hint="eastAsia" w:ascii="宋体" w:hAnsi="宋体" w:cs="宋体"/>
                <w:sz w:val="21"/>
                <w:szCs w:val="21"/>
              </w:rPr>
              <w:t>服务实施方案</w:t>
            </w:r>
          </w:p>
        </w:tc>
        <w:tc>
          <w:tcPr>
            <w:tcW w:w="5860" w:type="dxa"/>
            <w:tcBorders>
              <w:top w:val="single" w:color="auto" w:sz="4" w:space="0"/>
              <w:left w:val="single" w:color="auto" w:sz="4" w:space="0"/>
              <w:bottom w:val="single" w:color="auto" w:sz="4" w:space="0"/>
              <w:right w:val="single" w:color="auto" w:sz="4" w:space="0"/>
            </w:tcBorders>
          </w:tcPr>
          <w:p w14:paraId="5A9E9D69">
            <w:pPr>
              <w:tabs>
                <w:tab w:val="left" w:pos="1200"/>
              </w:tabs>
              <w:spacing w:line="360" w:lineRule="exact"/>
              <w:rPr>
                <w:rFonts w:ascii="宋体" w:hAnsi="宋体" w:cs="宋体"/>
                <w:sz w:val="21"/>
                <w:szCs w:val="21"/>
              </w:rPr>
            </w:pPr>
            <w:r>
              <w:rPr>
                <w:rFonts w:hint="eastAsia" w:ascii="宋体" w:hAnsi="宋体" w:cs="宋体"/>
                <w:sz w:val="21"/>
                <w:szCs w:val="21"/>
              </w:rPr>
              <w:t>评审内容:1.项目实施方案；2、项目实施方法；3.质量保证措施</w:t>
            </w:r>
          </w:p>
          <w:p w14:paraId="0152BA8E">
            <w:pPr>
              <w:tabs>
                <w:tab w:val="left" w:pos="1200"/>
              </w:tabs>
              <w:spacing w:line="360" w:lineRule="exact"/>
              <w:rPr>
                <w:rFonts w:ascii="宋体" w:hAnsi="宋体" w:cs="宋体"/>
                <w:sz w:val="21"/>
                <w:szCs w:val="21"/>
              </w:rPr>
            </w:pPr>
            <w:r>
              <w:rPr>
                <w:rFonts w:hint="eastAsia" w:ascii="宋体" w:hAnsi="宋体" w:cs="宋体"/>
                <w:sz w:val="21"/>
                <w:szCs w:val="21"/>
              </w:rPr>
              <w:t>（1）项目实施方法和步骤清晰，项目实施进度计划合理，质量保证措施完善全面，得</w:t>
            </w:r>
            <w:r>
              <w:rPr>
                <w:rFonts w:hint="eastAsia" w:ascii="宋体" w:hAnsi="宋体" w:cs="宋体"/>
                <w:sz w:val="21"/>
                <w:szCs w:val="21"/>
                <w:lang w:val="en-US" w:eastAsia="zh-CN"/>
              </w:rPr>
              <w:t>19</w:t>
            </w:r>
            <w:r>
              <w:rPr>
                <w:rFonts w:hint="eastAsia" w:ascii="宋体" w:hAnsi="宋体" w:cs="宋体"/>
                <w:sz w:val="21"/>
                <w:szCs w:val="21"/>
              </w:rPr>
              <w:t>-</w:t>
            </w:r>
            <w:r>
              <w:rPr>
                <w:rFonts w:hint="eastAsia" w:ascii="宋体" w:hAnsi="宋体" w:cs="宋体"/>
                <w:sz w:val="21"/>
                <w:szCs w:val="21"/>
                <w:lang w:val="en-US" w:eastAsia="zh-CN"/>
              </w:rPr>
              <w:t>25</w:t>
            </w:r>
            <w:r>
              <w:rPr>
                <w:rFonts w:hint="eastAsia" w:ascii="宋体" w:hAnsi="宋体" w:cs="宋体"/>
                <w:sz w:val="21"/>
                <w:szCs w:val="21"/>
              </w:rPr>
              <w:t>分；</w:t>
            </w:r>
          </w:p>
          <w:p w14:paraId="67FE8C83">
            <w:pPr>
              <w:tabs>
                <w:tab w:val="left" w:pos="1200"/>
              </w:tabs>
              <w:spacing w:line="360" w:lineRule="exact"/>
              <w:rPr>
                <w:rFonts w:ascii="宋体" w:hAnsi="宋体" w:cs="宋体"/>
                <w:sz w:val="21"/>
                <w:szCs w:val="21"/>
              </w:rPr>
            </w:pPr>
            <w:r>
              <w:rPr>
                <w:rFonts w:hint="eastAsia" w:ascii="宋体" w:hAnsi="宋体" w:cs="宋体"/>
                <w:sz w:val="21"/>
                <w:szCs w:val="21"/>
              </w:rPr>
              <w:t>（2）项目实施方法和步骤基本合理，项目实施进度计划稍有缺陷，质量保证措施不完善，得</w:t>
            </w:r>
            <w:r>
              <w:rPr>
                <w:rFonts w:hint="eastAsia" w:ascii="宋体" w:hAnsi="宋体" w:cs="宋体"/>
                <w:sz w:val="21"/>
                <w:szCs w:val="21"/>
                <w:lang w:val="en-US" w:eastAsia="zh-CN"/>
              </w:rPr>
              <w:t>10-18</w:t>
            </w:r>
            <w:r>
              <w:rPr>
                <w:rFonts w:hint="eastAsia" w:ascii="宋体" w:hAnsi="宋体" w:cs="宋体"/>
                <w:sz w:val="21"/>
                <w:szCs w:val="21"/>
              </w:rPr>
              <w:t>分；</w:t>
            </w:r>
          </w:p>
          <w:p w14:paraId="0F5F5DAA">
            <w:pPr>
              <w:tabs>
                <w:tab w:val="left" w:pos="1200"/>
              </w:tabs>
              <w:spacing w:line="360" w:lineRule="exact"/>
              <w:rPr>
                <w:rFonts w:ascii="宋体" w:hAnsi="宋体" w:cs="宋体"/>
                <w:sz w:val="21"/>
                <w:szCs w:val="21"/>
              </w:rPr>
            </w:pPr>
            <w:r>
              <w:rPr>
                <w:rFonts w:hint="eastAsia" w:ascii="宋体" w:hAnsi="宋体" w:cs="宋体"/>
                <w:sz w:val="21"/>
                <w:szCs w:val="21"/>
              </w:rPr>
              <w:t>（3）项目实施方案较为简</w:t>
            </w:r>
            <w:r>
              <w:rPr>
                <w:rFonts w:hint="eastAsia" w:ascii="宋体" w:hAnsi="宋体" w:cs="宋体"/>
                <w:sz w:val="21"/>
                <w:szCs w:val="21"/>
                <w:lang w:val="en-US" w:eastAsia="zh-CN"/>
              </w:rPr>
              <w:t>单</w:t>
            </w:r>
            <w:r>
              <w:rPr>
                <w:rFonts w:hint="eastAsia" w:ascii="宋体" w:hAnsi="宋体" w:cs="宋体"/>
                <w:sz w:val="21"/>
                <w:szCs w:val="21"/>
              </w:rPr>
              <w:t>，项目实施进度计划有缺陷，质量保证措施不完善，得</w:t>
            </w:r>
            <w:r>
              <w:rPr>
                <w:rFonts w:hint="eastAsia" w:ascii="宋体" w:hAnsi="宋体" w:cs="宋体"/>
                <w:sz w:val="21"/>
                <w:szCs w:val="21"/>
                <w:lang w:val="en-US" w:eastAsia="zh-CN"/>
              </w:rPr>
              <w:t>1-9</w:t>
            </w:r>
            <w:r>
              <w:rPr>
                <w:rFonts w:hint="eastAsia" w:ascii="宋体" w:hAnsi="宋体" w:cs="宋体"/>
                <w:sz w:val="21"/>
                <w:szCs w:val="21"/>
              </w:rPr>
              <w:t>分；</w:t>
            </w:r>
          </w:p>
          <w:p w14:paraId="69A88BB8">
            <w:pPr>
              <w:rPr>
                <w:rFonts w:ascii="宋体" w:hAnsi="宋体" w:cs="宋体"/>
                <w:sz w:val="21"/>
                <w:szCs w:val="21"/>
              </w:rPr>
            </w:pPr>
            <w:r>
              <w:rPr>
                <w:rFonts w:hint="eastAsia" w:ascii="宋体" w:hAnsi="宋体" w:cs="宋体"/>
                <w:sz w:val="21"/>
                <w:szCs w:val="21"/>
              </w:rPr>
              <w:t>（4）未提供相应内容的不得分。</w:t>
            </w:r>
          </w:p>
        </w:tc>
        <w:tc>
          <w:tcPr>
            <w:tcW w:w="769" w:type="dxa"/>
            <w:tcBorders>
              <w:top w:val="single" w:color="auto" w:sz="4" w:space="0"/>
              <w:left w:val="single" w:color="auto" w:sz="4" w:space="0"/>
              <w:bottom w:val="single" w:color="auto" w:sz="4" w:space="0"/>
              <w:right w:val="single" w:color="auto" w:sz="4" w:space="0"/>
            </w:tcBorders>
            <w:vAlign w:val="center"/>
          </w:tcPr>
          <w:p w14:paraId="374F9AD6">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r>
      <w:tr w14:paraId="57D1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851" w:type="dxa"/>
            <w:vMerge w:val="restart"/>
            <w:tcBorders>
              <w:top w:val="single" w:color="auto" w:sz="4" w:space="0"/>
              <w:left w:val="single" w:color="auto" w:sz="4" w:space="0"/>
              <w:right w:val="single" w:color="auto" w:sz="4" w:space="0"/>
            </w:tcBorders>
            <w:vAlign w:val="center"/>
          </w:tcPr>
          <w:p w14:paraId="0DA830AF">
            <w:pPr>
              <w:pStyle w:val="326"/>
              <w:widowControl/>
              <w:tabs>
                <w:tab w:val="left" w:pos="567"/>
              </w:tabs>
              <w:ind w:firstLine="0" w:firstLineChars="0"/>
              <w:jc w:val="center"/>
              <w:rPr>
                <w:rFonts w:ascii="宋体" w:hAnsi="宋体" w:cs="宋体"/>
                <w:bCs/>
                <w:sz w:val="21"/>
                <w:szCs w:val="21"/>
              </w:rPr>
            </w:pPr>
            <w:r>
              <w:rPr>
                <w:rFonts w:hint="eastAsia" w:ascii="宋体" w:hAnsi="宋体" w:cs="宋体"/>
                <w:b/>
                <w:sz w:val="21"/>
                <w:szCs w:val="21"/>
              </w:rPr>
              <w:t>商务部分（</w:t>
            </w:r>
            <w:r>
              <w:rPr>
                <w:rFonts w:hint="eastAsia" w:ascii="宋体" w:hAnsi="宋体" w:cs="宋体"/>
                <w:b/>
                <w:sz w:val="21"/>
                <w:szCs w:val="21"/>
                <w:lang w:val="en-US" w:eastAsia="zh-CN"/>
              </w:rPr>
              <w:t>35</w:t>
            </w:r>
            <w:r>
              <w:rPr>
                <w:rFonts w:hint="eastAsia" w:ascii="宋体" w:hAnsi="宋体" w:cs="宋体"/>
                <w:b/>
                <w:sz w:val="21"/>
                <w:szCs w:val="21"/>
              </w:rPr>
              <w:t>）</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30E4B67">
            <w:pPr>
              <w:pStyle w:val="325"/>
              <w:keepNext w:val="0"/>
              <w:widowControl/>
              <w:rPr>
                <w:rFonts w:ascii="宋体" w:hAnsi="宋体" w:eastAsia="宋体" w:cs="宋体"/>
                <w:bCs/>
                <w:sz w:val="21"/>
                <w:szCs w:val="21"/>
              </w:rPr>
            </w:pPr>
            <w:r>
              <w:rPr>
                <w:rFonts w:hint="eastAsia" w:ascii="宋体" w:hAnsi="宋体" w:eastAsia="宋体" w:cs="宋体"/>
                <w:bCs/>
                <w:color w:val="000000"/>
                <w:sz w:val="21"/>
                <w:szCs w:val="21"/>
              </w:rPr>
              <w:t>企业资质</w:t>
            </w:r>
          </w:p>
        </w:tc>
        <w:tc>
          <w:tcPr>
            <w:tcW w:w="5860" w:type="dxa"/>
            <w:tcBorders>
              <w:top w:val="single" w:color="auto" w:sz="4" w:space="0"/>
              <w:left w:val="single" w:color="auto" w:sz="4" w:space="0"/>
              <w:bottom w:val="single" w:color="auto" w:sz="4" w:space="0"/>
              <w:right w:val="single" w:color="auto" w:sz="4" w:space="0"/>
            </w:tcBorders>
            <w:shd w:val="clear" w:color="auto" w:fill="auto"/>
            <w:vAlign w:val="center"/>
          </w:tcPr>
          <w:p w14:paraId="62F8FC43">
            <w:pPr>
              <w:numPr>
                <w:ilvl w:val="0"/>
                <w:numId w:val="19"/>
              </w:numPr>
              <w:pBdr>
                <w:top w:val="none" w:color="000000" w:sz="0" w:space="0"/>
                <w:left w:val="none" w:color="000000" w:sz="0" w:space="0"/>
                <w:bottom w:val="none" w:color="000000" w:sz="0" w:space="0"/>
                <w:right w:val="none" w:color="000000" w:sz="0" w:space="0"/>
              </w:pBdr>
              <w:jc w:val="left"/>
              <w:rPr>
                <w:rFonts w:ascii="宋体" w:hAnsi="宋体" w:cs="宋体"/>
                <w:bCs/>
                <w:color w:val="000000"/>
                <w:sz w:val="21"/>
                <w:szCs w:val="21"/>
              </w:rPr>
            </w:pPr>
            <w:r>
              <w:rPr>
                <w:rFonts w:hint="eastAsia" w:ascii="宋体" w:hAnsi="宋体" w:cs="宋体"/>
                <w:bCs/>
                <w:color w:val="000000"/>
                <w:sz w:val="21"/>
                <w:szCs w:val="21"/>
              </w:rPr>
              <w:t>投标人具备ISO20000信息技术服务管理体系认证证书的，得</w:t>
            </w:r>
            <w:r>
              <w:rPr>
                <w:rFonts w:hint="eastAsia" w:ascii="宋体" w:hAnsi="宋体" w:cs="宋体"/>
                <w:bCs/>
                <w:color w:val="000000"/>
                <w:sz w:val="21"/>
                <w:szCs w:val="21"/>
                <w:lang w:val="en-US" w:eastAsia="zh-CN"/>
              </w:rPr>
              <w:t>3</w:t>
            </w:r>
            <w:r>
              <w:rPr>
                <w:rFonts w:hint="eastAsia" w:ascii="宋体" w:hAnsi="宋体" w:cs="宋体"/>
                <w:bCs/>
                <w:color w:val="000000"/>
                <w:sz w:val="21"/>
                <w:szCs w:val="21"/>
              </w:rPr>
              <w:t>分；</w:t>
            </w:r>
          </w:p>
          <w:p w14:paraId="0A2E7824">
            <w:pPr>
              <w:numPr>
                <w:ilvl w:val="0"/>
                <w:numId w:val="19"/>
              </w:numPr>
              <w:pBdr>
                <w:top w:val="none" w:color="000000" w:sz="0" w:space="0"/>
                <w:left w:val="none" w:color="000000" w:sz="0" w:space="0"/>
                <w:bottom w:val="none" w:color="000000" w:sz="0" w:space="0"/>
                <w:right w:val="none" w:color="000000" w:sz="0" w:space="0"/>
              </w:pBdr>
              <w:jc w:val="left"/>
              <w:rPr>
                <w:sz w:val="21"/>
                <w:szCs w:val="21"/>
              </w:rPr>
            </w:pPr>
            <w:r>
              <w:rPr>
                <w:rFonts w:hint="eastAsia" w:ascii="宋体" w:hAnsi="宋体" w:cs="宋体"/>
                <w:bCs/>
                <w:color w:val="000000"/>
                <w:sz w:val="21"/>
                <w:szCs w:val="21"/>
              </w:rPr>
              <w:t>投标人具备ISO270</w:t>
            </w:r>
            <w:r>
              <w:rPr>
                <w:rFonts w:hint="eastAsia" w:ascii="宋体" w:hAnsi="宋体" w:cs="宋体"/>
                <w:bCs/>
                <w:sz w:val="21"/>
                <w:szCs w:val="21"/>
              </w:rPr>
              <w:t>01信息安全管理体系认证证书的，得</w:t>
            </w:r>
            <w:r>
              <w:rPr>
                <w:rFonts w:hint="eastAsia" w:ascii="宋体" w:hAnsi="宋体" w:cs="宋体"/>
                <w:bCs/>
                <w:sz w:val="21"/>
                <w:szCs w:val="21"/>
                <w:lang w:val="en-US" w:eastAsia="zh-CN"/>
              </w:rPr>
              <w:t>3</w:t>
            </w:r>
            <w:r>
              <w:rPr>
                <w:rFonts w:hint="eastAsia" w:ascii="宋体" w:hAnsi="宋体" w:cs="宋体"/>
                <w:bCs/>
                <w:sz w:val="21"/>
                <w:szCs w:val="21"/>
              </w:rPr>
              <w:t>分。</w:t>
            </w:r>
          </w:p>
          <w:p w14:paraId="4A2BE326">
            <w:pPr>
              <w:pBdr>
                <w:top w:val="none" w:color="000000" w:sz="0" w:space="0"/>
                <w:left w:val="none" w:color="000000" w:sz="0" w:space="0"/>
                <w:bottom w:val="none" w:color="000000" w:sz="0" w:space="0"/>
                <w:right w:val="none" w:color="000000" w:sz="0" w:space="0"/>
              </w:pBdr>
              <w:jc w:val="left"/>
              <w:rPr>
                <w:rFonts w:ascii="宋体" w:hAnsi="宋体" w:cs="宋体"/>
                <w:sz w:val="21"/>
                <w:szCs w:val="21"/>
              </w:rPr>
            </w:pPr>
            <w:r>
              <w:rPr>
                <w:rFonts w:hint="eastAsia" w:ascii="宋体" w:hAnsi="宋体" w:cs="宋体"/>
                <w:b/>
                <w:color w:val="000000"/>
                <w:sz w:val="21"/>
                <w:szCs w:val="21"/>
              </w:rPr>
              <w:t>注：投标人提供证书扫描件并加盖投标人公章，不提供不得分。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683560F6">
            <w:pPr>
              <w:pBdr>
                <w:top w:val="none" w:color="000000" w:sz="0" w:space="0"/>
                <w:left w:val="none" w:color="000000" w:sz="0" w:space="0"/>
                <w:bottom w:val="none" w:color="000000" w:sz="0" w:space="0"/>
                <w:right w:val="none" w:color="000000" w:sz="0" w:space="0"/>
              </w:pBdr>
              <w:jc w:val="center"/>
              <w:rPr>
                <w:rFonts w:hint="eastAsia" w:ascii="宋体" w:hAnsi="宋体" w:eastAsia="宋体" w:cs="宋体"/>
                <w:sz w:val="21"/>
                <w:szCs w:val="21"/>
                <w:lang w:eastAsia="zh-CN"/>
              </w:rPr>
            </w:pPr>
            <w:r>
              <w:rPr>
                <w:rFonts w:hint="eastAsia" w:ascii="宋体" w:hAnsi="宋体" w:cs="宋体"/>
                <w:bCs/>
                <w:color w:val="000000"/>
                <w:sz w:val="21"/>
                <w:szCs w:val="21"/>
                <w:lang w:val="en-US" w:eastAsia="zh-CN"/>
              </w:rPr>
              <w:t>6</w:t>
            </w:r>
          </w:p>
        </w:tc>
      </w:tr>
      <w:tr w14:paraId="0BED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851" w:type="dxa"/>
            <w:vMerge w:val="continue"/>
            <w:tcBorders>
              <w:left w:val="single" w:color="auto" w:sz="4" w:space="0"/>
              <w:right w:val="single" w:color="auto" w:sz="4" w:space="0"/>
            </w:tcBorders>
            <w:vAlign w:val="center"/>
          </w:tcPr>
          <w:p w14:paraId="63741B35">
            <w:pPr>
              <w:pStyle w:val="326"/>
              <w:widowControl/>
              <w:tabs>
                <w:tab w:val="left" w:pos="567"/>
              </w:tabs>
              <w:ind w:firstLine="0" w:firstLineChars="0"/>
              <w:jc w:val="center"/>
              <w:rPr>
                <w:rFonts w:ascii="宋体" w:hAnsi="宋体" w:cs="宋体"/>
                <w:bCs/>
                <w:sz w:val="21"/>
                <w:szCs w:val="21"/>
              </w:rPr>
            </w:pPr>
          </w:p>
        </w:tc>
        <w:tc>
          <w:tcPr>
            <w:tcW w:w="938" w:type="dxa"/>
            <w:tcBorders>
              <w:top w:val="single" w:color="auto" w:sz="4" w:space="0"/>
              <w:left w:val="single" w:color="auto" w:sz="4" w:space="0"/>
              <w:bottom w:val="single" w:color="auto" w:sz="4" w:space="0"/>
              <w:right w:val="single" w:color="auto" w:sz="4" w:space="0"/>
            </w:tcBorders>
            <w:vAlign w:val="center"/>
          </w:tcPr>
          <w:p w14:paraId="31E0833B">
            <w:pPr>
              <w:pBdr>
                <w:top w:val="none" w:color="000000" w:sz="0" w:space="0"/>
                <w:left w:val="none" w:color="000000" w:sz="0" w:space="0"/>
                <w:bottom w:val="none" w:color="000000" w:sz="0" w:space="0"/>
                <w:right w:val="none" w:color="000000" w:sz="0" w:space="0"/>
              </w:pBdr>
              <w:jc w:val="center"/>
              <w:rPr>
                <w:rFonts w:ascii="宋体" w:hAnsi="宋体" w:cs="宋体"/>
                <w:bCs/>
                <w:strike/>
                <w:sz w:val="21"/>
                <w:szCs w:val="21"/>
              </w:rPr>
            </w:pPr>
            <w:r>
              <w:rPr>
                <w:rFonts w:hint="eastAsia" w:ascii="宋体" w:hAnsi="宋体" w:cs="宋体"/>
                <w:bCs/>
                <w:color w:val="000000"/>
                <w:sz w:val="21"/>
                <w:szCs w:val="21"/>
              </w:rPr>
              <w:t>项目负责人</w:t>
            </w:r>
          </w:p>
        </w:tc>
        <w:tc>
          <w:tcPr>
            <w:tcW w:w="5860" w:type="dxa"/>
            <w:tcBorders>
              <w:top w:val="single" w:color="auto" w:sz="4" w:space="0"/>
              <w:left w:val="single" w:color="auto" w:sz="4" w:space="0"/>
              <w:bottom w:val="single" w:color="auto" w:sz="4" w:space="0"/>
              <w:right w:val="single" w:color="auto" w:sz="4" w:space="0"/>
            </w:tcBorders>
            <w:vAlign w:val="center"/>
          </w:tcPr>
          <w:p w14:paraId="37805126">
            <w:pPr>
              <w:spacing w:line="260" w:lineRule="exact"/>
              <w:jc w:val="left"/>
              <w:rPr>
                <w:rFonts w:ascii="宋体" w:hAnsi="宋体" w:cs="宋体"/>
                <w:bCs/>
                <w:color w:val="000000"/>
                <w:sz w:val="21"/>
                <w:szCs w:val="21"/>
              </w:rPr>
            </w:pPr>
            <w:r>
              <w:rPr>
                <w:rFonts w:hint="eastAsia" w:ascii="宋体" w:hAnsi="宋体" w:cs="宋体"/>
                <w:bCs/>
                <w:color w:val="000000"/>
                <w:sz w:val="21"/>
                <w:szCs w:val="21"/>
              </w:rPr>
              <w:t>投标人拟派本项目的项目负责人1人：</w:t>
            </w:r>
          </w:p>
          <w:p w14:paraId="2FBCA2DD">
            <w:pPr>
              <w:pBdr>
                <w:top w:val="none" w:color="000000" w:sz="0" w:space="0"/>
                <w:left w:val="none" w:color="000000" w:sz="0" w:space="0"/>
                <w:bottom w:val="none" w:color="000000" w:sz="0" w:space="0"/>
                <w:right w:val="none" w:color="000000" w:sz="0" w:space="0"/>
              </w:pBdr>
              <w:jc w:val="left"/>
              <w:rPr>
                <w:rFonts w:ascii="宋体" w:hAnsi="宋体" w:cs="宋体"/>
                <w:bCs/>
                <w:strike/>
                <w:sz w:val="21"/>
                <w:szCs w:val="21"/>
              </w:rPr>
            </w:pPr>
            <w:r>
              <w:rPr>
                <w:rFonts w:hint="eastAsia" w:ascii="宋体" w:hAnsi="宋体" w:cs="宋体"/>
                <w:bCs/>
                <w:color w:val="000000"/>
                <w:sz w:val="21"/>
                <w:szCs w:val="21"/>
              </w:rPr>
              <w:t>（1）项目负责人具有有效期内高级工程师及以上（含高级工程师）职称的，得</w:t>
            </w:r>
            <w:r>
              <w:rPr>
                <w:rFonts w:hint="eastAsia" w:ascii="宋体" w:hAnsi="宋体" w:cs="宋体"/>
                <w:bCs/>
                <w:color w:val="000000"/>
                <w:sz w:val="21"/>
                <w:szCs w:val="21"/>
                <w:lang w:val="en-US" w:eastAsia="zh-CN"/>
              </w:rPr>
              <w:t>5</w:t>
            </w:r>
            <w:r>
              <w:rPr>
                <w:rFonts w:hint="eastAsia" w:ascii="宋体" w:hAnsi="宋体" w:cs="宋体"/>
                <w:bCs/>
                <w:color w:val="000000"/>
                <w:sz w:val="21"/>
                <w:szCs w:val="21"/>
              </w:rPr>
              <w:t>分；</w:t>
            </w:r>
            <w:r>
              <w:rPr>
                <w:rFonts w:hint="eastAsia" w:ascii="宋体" w:hAnsi="宋体" w:cs="宋体"/>
                <w:b/>
                <w:color w:val="000000"/>
                <w:sz w:val="21"/>
                <w:szCs w:val="21"/>
              </w:rPr>
              <w:t>注：投标人提供证书扫描件并加盖投标人公章；投标人为其缴纳近三个月社保证明并加盖投标人公章，不提供不得分。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57F1CCAB">
            <w:pPr>
              <w:pBdr>
                <w:top w:val="none" w:color="000000" w:sz="0" w:space="0"/>
                <w:left w:val="none" w:color="000000" w:sz="0" w:space="0"/>
                <w:bottom w:val="none" w:color="000000" w:sz="0" w:space="0"/>
                <w:right w:val="none" w:color="000000" w:sz="0" w:space="0"/>
              </w:pBd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5</w:t>
            </w:r>
          </w:p>
        </w:tc>
      </w:tr>
      <w:tr w14:paraId="08A8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851" w:type="dxa"/>
            <w:vMerge w:val="continue"/>
            <w:tcBorders>
              <w:left w:val="single" w:color="auto" w:sz="4" w:space="0"/>
              <w:right w:val="single" w:color="auto" w:sz="4" w:space="0"/>
            </w:tcBorders>
            <w:vAlign w:val="center"/>
          </w:tcPr>
          <w:p w14:paraId="22DC3FA7">
            <w:pPr>
              <w:widowControl/>
              <w:jc w:val="left"/>
              <w:rPr>
                <w:rFonts w:ascii="宋体" w:hAnsi="宋体" w:cs="宋体"/>
                <w:bCs/>
                <w:sz w:val="21"/>
                <w:szCs w:val="21"/>
              </w:rPr>
            </w:pPr>
          </w:p>
        </w:tc>
        <w:tc>
          <w:tcPr>
            <w:tcW w:w="938" w:type="dxa"/>
            <w:tcBorders>
              <w:top w:val="single" w:color="auto" w:sz="4" w:space="0"/>
              <w:left w:val="single" w:color="auto" w:sz="4" w:space="0"/>
              <w:bottom w:val="single" w:color="auto" w:sz="4" w:space="0"/>
              <w:right w:val="single" w:color="auto" w:sz="4" w:space="0"/>
            </w:tcBorders>
            <w:vAlign w:val="center"/>
          </w:tcPr>
          <w:p w14:paraId="4DBFB066">
            <w:pPr>
              <w:pBdr>
                <w:top w:val="none" w:color="000000" w:sz="0" w:space="0"/>
                <w:left w:val="none" w:color="000000" w:sz="0" w:space="0"/>
                <w:bottom w:val="none" w:color="000000" w:sz="0" w:space="0"/>
                <w:right w:val="none" w:color="000000" w:sz="0" w:space="0"/>
              </w:pBdr>
              <w:jc w:val="center"/>
              <w:rPr>
                <w:rFonts w:ascii="宋体" w:hAnsi="宋体" w:cs="宋体"/>
                <w:bCs/>
                <w:sz w:val="21"/>
                <w:szCs w:val="21"/>
              </w:rPr>
            </w:pPr>
            <w:r>
              <w:rPr>
                <w:rFonts w:hint="eastAsia" w:ascii="宋体" w:hAnsi="宋体" w:cs="宋体"/>
                <w:bCs/>
                <w:color w:val="000000"/>
                <w:sz w:val="21"/>
                <w:szCs w:val="21"/>
              </w:rPr>
              <w:t>技术负责人</w:t>
            </w:r>
          </w:p>
        </w:tc>
        <w:tc>
          <w:tcPr>
            <w:tcW w:w="5860" w:type="dxa"/>
            <w:tcBorders>
              <w:top w:val="single" w:color="auto" w:sz="4" w:space="0"/>
              <w:left w:val="single" w:color="auto" w:sz="4" w:space="0"/>
              <w:bottom w:val="single" w:color="auto" w:sz="4" w:space="0"/>
              <w:right w:val="single" w:color="auto" w:sz="4" w:space="0"/>
            </w:tcBorders>
            <w:vAlign w:val="center"/>
          </w:tcPr>
          <w:p w14:paraId="7C9B6EF7">
            <w:pPr>
              <w:spacing w:line="260" w:lineRule="exact"/>
              <w:jc w:val="left"/>
              <w:rPr>
                <w:rFonts w:ascii="宋体" w:hAnsi="宋体" w:cs="宋体"/>
                <w:bCs/>
                <w:color w:val="000000"/>
                <w:sz w:val="21"/>
                <w:szCs w:val="21"/>
              </w:rPr>
            </w:pPr>
            <w:r>
              <w:rPr>
                <w:rFonts w:hint="eastAsia" w:ascii="宋体" w:hAnsi="宋体" w:cs="宋体"/>
                <w:bCs/>
                <w:color w:val="000000"/>
                <w:sz w:val="21"/>
                <w:szCs w:val="21"/>
              </w:rPr>
              <w:t>投标人拟派本项目的技术负责人1人：</w:t>
            </w:r>
          </w:p>
          <w:p w14:paraId="7CFA466E">
            <w:pPr>
              <w:spacing w:line="260" w:lineRule="exact"/>
              <w:jc w:val="left"/>
              <w:rPr>
                <w:rFonts w:ascii="宋体" w:hAnsi="宋体" w:cs="宋体"/>
                <w:bCs/>
                <w:color w:val="000000"/>
                <w:sz w:val="21"/>
                <w:szCs w:val="21"/>
              </w:rPr>
            </w:pPr>
            <w:r>
              <w:rPr>
                <w:rFonts w:hint="eastAsia" w:ascii="宋体" w:hAnsi="宋体" w:cs="宋体"/>
                <w:bCs/>
                <w:color w:val="000000"/>
                <w:sz w:val="21"/>
                <w:szCs w:val="21"/>
              </w:rPr>
              <w:t>（1）技术负责人具有有效期内高级工程师及以上（含高级工程师）职称的，得</w:t>
            </w:r>
            <w:r>
              <w:rPr>
                <w:rFonts w:hint="eastAsia" w:ascii="宋体" w:hAnsi="宋体" w:cs="宋体"/>
                <w:bCs/>
                <w:color w:val="000000"/>
                <w:sz w:val="21"/>
                <w:szCs w:val="21"/>
                <w:lang w:val="en-US" w:eastAsia="zh-CN"/>
              </w:rPr>
              <w:t>5</w:t>
            </w:r>
            <w:r>
              <w:rPr>
                <w:rFonts w:hint="eastAsia" w:ascii="宋体" w:hAnsi="宋体" w:cs="宋体"/>
                <w:bCs/>
                <w:color w:val="000000"/>
                <w:sz w:val="21"/>
                <w:szCs w:val="21"/>
              </w:rPr>
              <w:t>分。</w:t>
            </w:r>
          </w:p>
          <w:p w14:paraId="7522EBA8">
            <w:pPr>
              <w:spacing w:line="260" w:lineRule="exact"/>
              <w:jc w:val="left"/>
              <w:rPr>
                <w:rFonts w:ascii="宋体" w:hAnsi="宋体" w:cs="宋体"/>
                <w:bCs/>
                <w:color w:val="000000"/>
                <w:sz w:val="21"/>
                <w:szCs w:val="21"/>
              </w:rPr>
            </w:pPr>
            <w:r>
              <w:rPr>
                <w:rFonts w:hint="eastAsia" w:ascii="宋体" w:hAnsi="宋体" w:cs="宋体"/>
                <w:bCs/>
                <w:color w:val="000000"/>
                <w:sz w:val="21"/>
                <w:szCs w:val="21"/>
              </w:rPr>
              <w:t>（2）技术负责人具有有效期内ITSS服务工程师证书的，得</w:t>
            </w:r>
            <w:r>
              <w:rPr>
                <w:rFonts w:hint="eastAsia" w:ascii="宋体" w:hAnsi="宋体" w:cs="宋体"/>
                <w:bCs/>
                <w:color w:val="000000"/>
                <w:sz w:val="21"/>
                <w:szCs w:val="21"/>
                <w:lang w:val="en-US" w:eastAsia="zh-CN"/>
              </w:rPr>
              <w:t>2</w:t>
            </w:r>
            <w:r>
              <w:rPr>
                <w:rFonts w:hint="eastAsia" w:ascii="宋体" w:hAnsi="宋体" w:cs="宋体"/>
                <w:bCs/>
                <w:color w:val="000000"/>
                <w:sz w:val="21"/>
                <w:szCs w:val="21"/>
              </w:rPr>
              <w:t>分。</w:t>
            </w:r>
          </w:p>
          <w:p w14:paraId="24D47491">
            <w:pPr>
              <w:rPr>
                <w:rFonts w:ascii="宋体" w:hAnsi="宋体" w:cs="宋体"/>
                <w:bCs/>
                <w:sz w:val="21"/>
                <w:szCs w:val="21"/>
              </w:rPr>
            </w:pPr>
            <w:r>
              <w:rPr>
                <w:rFonts w:hint="eastAsia" w:ascii="宋体" w:hAnsi="宋体" w:cs="宋体"/>
                <w:bCs/>
                <w:sz w:val="21"/>
                <w:szCs w:val="21"/>
              </w:rPr>
              <w:t>（</w:t>
            </w:r>
            <w:r>
              <w:rPr>
                <w:rFonts w:hint="eastAsia" w:ascii="宋体" w:hAnsi="宋体" w:cs="宋体"/>
                <w:bCs/>
                <w:color w:val="000000"/>
                <w:sz w:val="21"/>
                <w:szCs w:val="21"/>
              </w:rPr>
              <w:t>3）技术负责人具有有效期内信息技术应用创新服务工</w:t>
            </w:r>
            <w:r>
              <w:rPr>
                <w:rFonts w:hint="eastAsia" w:ascii="宋体" w:hAnsi="宋体" w:cs="宋体"/>
                <w:bCs/>
                <w:color w:val="000000"/>
                <w:sz w:val="21"/>
                <w:szCs w:val="21"/>
                <w:lang w:val="en-US" w:eastAsia="zh-CN"/>
              </w:rPr>
              <w:t>程</w:t>
            </w:r>
            <w:r>
              <w:rPr>
                <w:rFonts w:hint="eastAsia" w:ascii="宋体" w:hAnsi="宋体" w:cs="宋体"/>
                <w:bCs/>
                <w:color w:val="000000"/>
                <w:sz w:val="21"/>
                <w:szCs w:val="21"/>
              </w:rPr>
              <w:t>师证书的，得</w:t>
            </w:r>
            <w:r>
              <w:rPr>
                <w:rFonts w:hint="eastAsia" w:ascii="宋体" w:hAnsi="宋体" w:cs="宋体"/>
                <w:bCs/>
                <w:color w:val="000000"/>
                <w:sz w:val="21"/>
                <w:szCs w:val="21"/>
                <w:lang w:val="en-US" w:eastAsia="zh-CN"/>
              </w:rPr>
              <w:t>2</w:t>
            </w:r>
            <w:r>
              <w:rPr>
                <w:rFonts w:hint="eastAsia" w:ascii="宋体" w:hAnsi="宋体" w:cs="宋体"/>
                <w:bCs/>
                <w:color w:val="000000"/>
                <w:sz w:val="21"/>
                <w:szCs w:val="21"/>
              </w:rPr>
              <w:t>分</w:t>
            </w:r>
          </w:p>
          <w:p w14:paraId="00DD6BFC">
            <w:pPr>
              <w:pBdr>
                <w:top w:val="none" w:color="000000" w:sz="0" w:space="0"/>
                <w:left w:val="none" w:color="000000" w:sz="0" w:space="0"/>
                <w:bottom w:val="none" w:color="000000" w:sz="0" w:space="0"/>
                <w:right w:val="none" w:color="000000" w:sz="0" w:space="0"/>
              </w:pBdr>
              <w:jc w:val="left"/>
              <w:rPr>
                <w:rFonts w:ascii="宋体" w:hAnsi="宋体" w:cs="宋体"/>
                <w:bCs/>
                <w:sz w:val="21"/>
                <w:szCs w:val="21"/>
              </w:rPr>
            </w:pPr>
            <w:r>
              <w:rPr>
                <w:rFonts w:hint="eastAsia" w:ascii="宋体" w:hAnsi="宋体" w:cs="宋体"/>
                <w:b/>
                <w:color w:val="000000"/>
                <w:sz w:val="21"/>
                <w:szCs w:val="21"/>
              </w:rPr>
              <w:t>注：投标人提供证书扫描件并加盖投标人公章；投标人为其缴纳近三个月社保证明并加盖投标人公章，不提供不得分。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586AABFC">
            <w:pPr>
              <w:pBdr>
                <w:top w:val="none" w:color="000000" w:sz="0" w:space="0"/>
                <w:left w:val="none" w:color="000000" w:sz="0" w:space="0"/>
                <w:bottom w:val="none" w:color="000000" w:sz="0" w:space="0"/>
                <w:right w:val="none" w:color="000000" w:sz="0" w:space="0"/>
              </w:pBd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9</w:t>
            </w:r>
          </w:p>
        </w:tc>
      </w:tr>
      <w:tr w14:paraId="320F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51" w:type="dxa"/>
            <w:vMerge w:val="continue"/>
            <w:tcBorders>
              <w:left w:val="single" w:color="auto" w:sz="4" w:space="0"/>
              <w:right w:val="single" w:color="auto" w:sz="4" w:space="0"/>
            </w:tcBorders>
            <w:vAlign w:val="center"/>
          </w:tcPr>
          <w:p w14:paraId="338DD1A3">
            <w:pPr>
              <w:widowControl/>
              <w:jc w:val="left"/>
              <w:rPr>
                <w:rFonts w:ascii="宋体" w:hAnsi="宋体" w:cs="宋体"/>
                <w:bCs/>
                <w:sz w:val="21"/>
                <w:szCs w:val="21"/>
              </w:rPr>
            </w:pPr>
          </w:p>
        </w:tc>
        <w:tc>
          <w:tcPr>
            <w:tcW w:w="938" w:type="dxa"/>
            <w:tcBorders>
              <w:top w:val="single" w:color="auto" w:sz="4" w:space="0"/>
              <w:left w:val="single" w:color="auto" w:sz="4" w:space="0"/>
              <w:bottom w:val="single" w:color="auto" w:sz="4" w:space="0"/>
              <w:right w:val="single" w:color="auto" w:sz="4" w:space="0"/>
            </w:tcBorders>
            <w:vAlign w:val="center"/>
          </w:tcPr>
          <w:p w14:paraId="699B481E">
            <w:pPr>
              <w:pBdr>
                <w:top w:val="none" w:color="000000" w:sz="0" w:space="0"/>
                <w:left w:val="none" w:color="000000" w:sz="0" w:space="0"/>
                <w:bottom w:val="none" w:color="000000" w:sz="0" w:space="0"/>
                <w:right w:val="none" w:color="000000" w:sz="0" w:space="0"/>
              </w:pBdr>
              <w:jc w:val="center"/>
              <w:rPr>
                <w:rFonts w:ascii="宋体" w:hAnsi="宋体" w:cs="宋体"/>
                <w:bCs/>
                <w:sz w:val="21"/>
                <w:szCs w:val="21"/>
              </w:rPr>
            </w:pPr>
            <w:r>
              <w:rPr>
                <w:rFonts w:hint="eastAsia" w:ascii="宋体" w:hAnsi="宋体" w:cs="宋体"/>
                <w:bCs/>
                <w:color w:val="000000"/>
                <w:sz w:val="21"/>
                <w:szCs w:val="21"/>
              </w:rPr>
              <w:t>项目团队</w:t>
            </w:r>
          </w:p>
        </w:tc>
        <w:tc>
          <w:tcPr>
            <w:tcW w:w="5860" w:type="dxa"/>
            <w:tcBorders>
              <w:top w:val="single" w:color="auto" w:sz="4" w:space="0"/>
              <w:left w:val="single" w:color="auto" w:sz="4" w:space="0"/>
              <w:bottom w:val="single" w:color="auto" w:sz="4" w:space="0"/>
              <w:right w:val="single" w:color="auto" w:sz="4" w:space="0"/>
            </w:tcBorders>
            <w:vAlign w:val="center"/>
          </w:tcPr>
          <w:p w14:paraId="55638F4D">
            <w:pPr>
              <w:pBdr>
                <w:top w:val="none" w:color="000000" w:sz="0" w:space="0"/>
                <w:left w:val="none" w:color="000000" w:sz="0" w:space="0"/>
                <w:bottom w:val="none" w:color="000000" w:sz="0" w:space="0"/>
                <w:right w:val="none" w:color="000000" w:sz="0" w:space="0"/>
              </w:pBdr>
              <w:jc w:val="left"/>
              <w:rPr>
                <w:rFonts w:ascii="宋体" w:hAnsi="宋体" w:cs="宋体"/>
                <w:bCs/>
                <w:color w:val="000000"/>
                <w:sz w:val="21"/>
                <w:szCs w:val="21"/>
              </w:rPr>
            </w:pPr>
            <w:r>
              <w:rPr>
                <w:rFonts w:hint="eastAsia" w:ascii="宋体" w:hAnsi="宋体" w:cs="宋体"/>
                <w:bCs/>
                <w:color w:val="000000"/>
                <w:sz w:val="21"/>
                <w:szCs w:val="21"/>
              </w:rPr>
              <w:t>投标人拟派本项目的技术成员（项目负责人、技术负责人除外）：</w:t>
            </w:r>
          </w:p>
          <w:p w14:paraId="5568BA7D">
            <w:pPr>
              <w:pBdr>
                <w:top w:val="none" w:color="000000" w:sz="0" w:space="0"/>
                <w:left w:val="none" w:color="000000" w:sz="0" w:space="0"/>
                <w:bottom w:val="none" w:color="000000" w:sz="0" w:space="0"/>
                <w:right w:val="none" w:color="000000" w:sz="0" w:space="0"/>
              </w:pBdr>
              <w:jc w:val="left"/>
              <w:rPr>
                <w:rFonts w:ascii="宋体" w:hAnsi="宋体" w:cs="宋体"/>
                <w:bCs/>
                <w:color w:val="000000"/>
                <w:sz w:val="21"/>
                <w:szCs w:val="21"/>
              </w:rPr>
            </w:pPr>
            <w:r>
              <w:rPr>
                <w:rFonts w:hint="eastAsia" w:ascii="宋体" w:hAnsi="宋体" w:cs="宋体"/>
                <w:bCs/>
                <w:color w:val="000000"/>
                <w:sz w:val="21"/>
                <w:szCs w:val="21"/>
              </w:rPr>
              <w:t>（1）技术成员中具备高级工程师以上（含高级工程师）职称的，得</w:t>
            </w:r>
            <w:r>
              <w:rPr>
                <w:rFonts w:hint="eastAsia" w:ascii="宋体" w:hAnsi="宋体" w:cs="宋体"/>
                <w:bCs/>
                <w:color w:val="000000"/>
                <w:sz w:val="21"/>
                <w:szCs w:val="21"/>
                <w:lang w:val="en-US" w:eastAsia="zh-CN"/>
              </w:rPr>
              <w:t>5</w:t>
            </w:r>
            <w:r>
              <w:rPr>
                <w:rFonts w:hint="eastAsia" w:ascii="宋体" w:hAnsi="宋体" w:cs="宋体"/>
                <w:bCs/>
                <w:color w:val="000000"/>
                <w:sz w:val="21"/>
                <w:szCs w:val="21"/>
              </w:rPr>
              <w:t>分；</w:t>
            </w:r>
          </w:p>
          <w:p w14:paraId="51CAC1E3">
            <w:pPr>
              <w:pBdr>
                <w:top w:val="none" w:color="000000" w:sz="0" w:space="0"/>
                <w:left w:val="none" w:color="000000" w:sz="0" w:space="0"/>
                <w:bottom w:val="none" w:color="000000" w:sz="0" w:space="0"/>
                <w:right w:val="none" w:color="000000" w:sz="0" w:space="0"/>
              </w:pBdr>
              <w:jc w:val="left"/>
              <w:rPr>
                <w:rFonts w:ascii="宋体" w:hAnsi="宋体" w:cs="宋体"/>
                <w:bCs/>
                <w:color w:val="000000"/>
                <w:sz w:val="21"/>
                <w:szCs w:val="21"/>
              </w:rPr>
            </w:pPr>
            <w:r>
              <w:rPr>
                <w:rFonts w:hint="eastAsia" w:ascii="宋体" w:hAnsi="宋体" w:cs="宋体"/>
                <w:bCs/>
                <w:color w:val="000000"/>
                <w:sz w:val="21"/>
                <w:szCs w:val="21"/>
              </w:rPr>
              <w:t>（2）技术成员中具备信息安全保障人员认证（CISAW）、注册信息安全专业人员（CISP）、网络安全能力认证（CCSC）、数据安全评估师证书，每有一项得</w:t>
            </w:r>
            <w:r>
              <w:rPr>
                <w:rFonts w:hint="eastAsia" w:ascii="宋体" w:hAnsi="宋体" w:cs="宋体"/>
                <w:bCs/>
                <w:color w:val="000000"/>
                <w:sz w:val="21"/>
                <w:szCs w:val="21"/>
                <w:lang w:val="en-US" w:eastAsia="zh-CN"/>
              </w:rPr>
              <w:t>2</w:t>
            </w:r>
            <w:r>
              <w:rPr>
                <w:rFonts w:hint="eastAsia" w:ascii="宋体" w:hAnsi="宋体" w:cs="宋体"/>
                <w:bCs/>
                <w:color w:val="000000"/>
                <w:sz w:val="21"/>
                <w:szCs w:val="21"/>
              </w:rPr>
              <w:t>分，最高得</w:t>
            </w:r>
            <w:r>
              <w:rPr>
                <w:rFonts w:hint="eastAsia" w:ascii="宋体" w:hAnsi="宋体" w:cs="宋体"/>
                <w:bCs/>
                <w:color w:val="000000"/>
                <w:sz w:val="21"/>
                <w:szCs w:val="21"/>
                <w:lang w:val="en-US" w:eastAsia="zh-CN"/>
              </w:rPr>
              <w:t>6</w:t>
            </w:r>
            <w:r>
              <w:rPr>
                <w:rFonts w:hint="eastAsia" w:ascii="宋体" w:hAnsi="宋体" w:cs="宋体"/>
                <w:bCs/>
                <w:color w:val="000000"/>
                <w:sz w:val="21"/>
                <w:szCs w:val="21"/>
              </w:rPr>
              <w:t>分。</w:t>
            </w:r>
          </w:p>
          <w:p w14:paraId="227065B1">
            <w:pPr>
              <w:pBdr>
                <w:top w:val="none" w:color="000000" w:sz="0" w:space="0"/>
                <w:left w:val="none" w:color="000000" w:sz="0" w:space="0"/>
                <w:bottom w:val="none" w:color="000000" w:sz="0" w:space="0"/>
                <w:right w:val="none" w:color="000000" w:sz="0" w:space="0"/>
              </w:pBdr>
              <w:jc w:val="left"/>
              <w:rPr>
                <w:rFonts w:ascii="宋体" w:hAnsi="宋体" w:cs="宋体"/>
                <w:bCs/>
                <w:sz w:val="21"/>
                <w:szCs w:val="21"/>
              </w:rPr>
            </w:pPr>
            <w:r>
              <w:rPr>
                <w:rFonts w:hint="eastAsia" w:ascii="宋体" w:hAnsi="宋体" w:cs="宋体"/>
                <w:b/>
                <w:color w:val="000000"/>
                <w:sz w:val="21"/>
                <w:szCs w:val="21"/>
              </w:rPr>
              <w:t>注：投标人提供证书扫描件并加盖投标人公章；投标人为其缴纳近三个月社保证明并加盖投标人公章，不提供不得分。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4EC712BE">
            <w:pPr>
              <w:pBdr>
                <w:top w:val="none" w:color="000000" w:sz="0" w:space="0"/>
                <w:left w:val="none" w:color="000000" w:sz="0" w:space="0"/>
                <w:bottom w:val="none" w:color="000000" w:sz="0" w:space="0"/>
                <w:right w:val="none" w:color="000000" w:sz="0" w:space="0"/>
              </w:pBd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11</w:t>
            </w:r>
          </w:p>
        </w:tc>
      </w:tr>
      <w:tr w14:paraId="4E77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51" w:type="dxa"/>
            <w:vMerge w:val="continue"/>
            <w:tcBorders>
              <w:left w:val="single" w:color="auto" w:sz="4" w:space="0"/>
              <w:right w:val="single" w:color="auto" w:sz="4" w:space="0"/>
            </w:tcBorders>
            <w:vAlign w:val="center"/>
          </w:tcPr>
          <w:p w14:paraId="1F96ACCD">
            <w:pPr>
              <w:widowControl/>
              <w:jc w:val="left"/>
              <w:rPr>
                <w:rFonts w:ascii="宋体" w:hAnsi="宋体" w:cs="宋体"/>
                <w:bCs/>
                <w:sz w:val="21"/>
                <w:szCs w:val="21"/>
              </w:rPr>
            </w:pPr>
          </w:p>
        </w:tc>
        <w:tc>
          <w:tcPr>
            <w:tcW w:w="938" w:type="dxa"/>
            <w:tcBorders>
              <w:top w:val="single" w:color="auto" w:sz="4" w:space="0"/>
              <w:left w:val="single" w:color="auto" w:sz="4" w:space="0"/>
              <w:right w:val="single" w:color="auto" w:sz="4" w:space="0"/>
            </w:tcBorders>
            <w:vAlign w:val="center"/>
          </w:tcPr>
          <w:p w14:paraId="08E0100D">
            <w:pPr>
              <w:pBdr>
                <w:top w:val="none" w:color="000000" w:sz="0" w:space="0"/>
                <w:left w:val="none" w:color="000000" w:sz="0" w:space="0"/>
                <w:bottom w:val="none" w:color="000000" w:sz="0" w:space="0"/>
                <w:right w:val="none" w:color="000000" w:sz="0" w:space="0"/>
              </w:pBdr>
              <w:jc w:val="center"/>
              <w:rPr>
                <w:rFonts w:ascii="宋体" w:hAnsi="宋体" w:cs="宋体"/>
                <w:bCs/>
                <w:sz w:val="21"/>
                <w:szCs w:val="21"/>
              </w:rPr>
            </w:pPr>
            <w:r>
              <w:rPr>
                <w:rFonts w:hint="eastAsia" w:ascii="宋体" w:hAnsi="宋体" w:cs="宋体"/>
                <w:bCs/>
                <w:color w:val="000000"/>
                <w:sz w:val="21"/>
                <w:szCs w:val="21"/>
              </w:rPr>
              <w:t>企业业绩</w:t>
            </w:r>
          </w:p>
        </w:tc>
        <w:tc>
          <w:tcPr>
            <w:tcW w:w="5860" w:type="dxa"/>
            <w:tcBorders>
              <w:top w:val="single" w:color="auto" w:sz="4" w:space="0"/>
              <w:left w:val="single" w:color="auto" w:sz="4" w:space="0"/>
              <w:right w:val="single" w:color="auto" w:sz="4" w:space="0"/>
            </w:tcBorders>
            <w:vAlign w:val="center"/>
          </w:tcPr>
          <w:p w14:paraId="6C48E71D">
            <w:pPr>
              <w:widowControl/>
              <w:jc w:val="left"/>
              <w:rPr>
                <w:rFonts w:ascii="宋体" w:hAnsi="宋体" w:cs="宋体"/>
                <w:bCs/>
                <w:color w:val="000000"/>
                <w:sz w:val="21"/>
                <w:szCs w:val="21"/>
              </w:rPr>
            </w:pPr>
            <w:r>
              <w:rPr>
                <w:rFonts w:hint="eastAsia" w:ascii="宋体" w:hAnsi="宋体" w:cs="宋体"/>
                <w:bCs/>
                <w:color w:val="000000"/>
                <w:sz w:val="21"/>
                <w:szCs w:val="21"/>
              </w:rPr>
              <w:t>投标人自2022年</w:t>
            </w:r>
            <w:r>
              <w:rPr>
                <w:rFonts w:hint="eastAsia" w:ascii="宋体" w:hAnsi="宋体" w:cs="宋体"/>
                <w:bCs/>
                <w:color w:val="000000"/>
                <w:sz w:val="21"/>
                <w:szCs w:val="21"/>
                <w:lang w:val="en-US" w:eastAsia="zh-CN"/>
              </w:rPr>
              <w:t>11</w:t>
            </w:r>
            <w:bookmarkStart w:id="31" w:name="_GoBack"/>
            <w:bookmarkEnd w:id="31"/>
            <w:r>
              <w:rPr>
                <w:rFonts w:hint="eastAsia" w:ascii="宋体" w:hAnsi="宋体" w:cs="宋体"/>
                <w:bCs/>
                <w:color w:val="000000"/>
                <w:sz w:val="21"/>
                <w:szCs w:val="21"/>
              </w:rPr>
              <w:t>月1日以来完成过类似网络安全项目的，每</w:t>
            </w:r>
            <w:r>
              <w:rPr>
                <w:rFonts w:hint="eastAsia" w:ascii="宋体" w:hAnsi="宋体" w:cs="宋体"/>
                <w:bCs/>
                <w:color w:val="000000"/>
                <w:sz w:val="21"/>
                <w:szCs w:val="21"/>
                <w:lang w:val="en-US" w:eastAsia="zh-CN"/>
              </w:rPr>
              <w:t>有一项</w:t>
            </w:r>
            <w:r>
              <w:rPr>
                <w:rFonts w:hint="eastAsia" w:ascii="宋体" w:hAnsi="宋体" w:cs="宋体"/>
                <w:bCs/>
                <w:color w:val="000000"/>
                <w:sz w:val="21"/>
                <w:szCs w:val="21"/>
              </w:rPr>
              <w:t>得</w:t>
            </w:r>
            <w:r>
              <w:rPr>
                <w:rFonts w:ascii="宋体" w:hAnsi="宋体" w:cs="宋体"/>
                <w:bCs/>
                <w:color w:val="000000"/>
                <w:sz w:val="21"/>
                <w:szCs w:val="21"/>
              </w:rPr>
              <w:t>1</w:t>
            </w:r>
            <w:r>
              <w:rPr>
                <w:rFonts w:hint="eastAsia" w:ascii="宋体" w:hAnsi="宋体" w:cs="宋体"/>
                <w:bCs/>
                <w:color w:val="000000"/>
                <w:sz w:val="21"/>
                <w:szCs w:val="21"/>
              </w:rPr>
              <w:t>分，本项最高得</w:t>
            </w:r>
            <w:r>
              <w:rPr>
                <w:rFonts w:hint="eastAsia" w:ascii="宋体" w:hAnsi="宋体" w:cs="宋体"/>
                <w:bCs/>
                <w:color w:val="000000"/>
                <w:sz w:val="21"/>
                <w:szCs w:val="21"/>
                <w:lang w:val="en-US" w:eastAsia="zh-CN"/>
              </w:rPr>
              <w:t>4</w:t>
            </w:r>
            <w:r>
              <w:rPr>
                <w:rFonts w:hint="eastAsia" w:ascii="宋体" w:hAnsi="宋体" w:cs="宋体"/>
                <w:bCs/>
                <w:color w:val="000000"/>
                <w:sz w:val="21"/>
                <w:szCs w:val="21"/>
              </w:rPr>
              <w:t>分。</w:t>
            </w:r>
          </w:p>
          <w:p w14:paraId="1E086C33">
            <w:pPr>
              <w:widowControl/>
              <w:jc w:val="left"/>
              <w:rPr>
                <w:rFonts w:ascii="宋体" w:hAnsi="宋体" w:cs="宋体"/>
                <w:bCs/>
                <w:sz w:val="21"/>
                <w:szCs w:val="21"/>
              </w:rPr>
            </w:pPr>
            <w:r>
              <w:rPr>
                <w:rFonts w:hint="eastAsia" w:ascii="宋体" w:hAnsi="宋体" w:cs="宋体"/>
                <w:b/>
                <w:color w:val="000000"/>
                <w:sz w:val="21"/>
                <w:szCs w:val="21"/>
              </w:rPr>
              <w:t>注：投标人提供合同扫描件并加盖投标人公章，时间以合同签订时间为准，不提供不得分。</w:t>
            </w:r>
          </w:p>
        </w:tc>
        <w:tc>
          <w:tcPr>
            <w:tcW w:w="769" w:type="dxa"/>
            <w:tcBorders>
              <w:top w:val="single" w:color="auto" w:sz="4" w:space="0"/>
              <w:left w:val="single" w:color="auto" w:sz="4" w:space="0"/>
              <w:bottom w:val="single" w:color="auto" w:sz="4" w:space="0"/>
              <w:right w:val="single" w:color="auto" w:sz="4" w:space="0"/>
            </w:tcBorders>
            <w:vAlign w:val="center"/>
          </w:tcPr>
          <w:p w14:paraId="55DE35B3">
            <w:pPr>
              <w:jc w:val="center"/>
              <w:rPr>
                <w:rFonts w:hint="eastAsia" w:ascii="宋体" w:hAnsi="宋体" w:eastAsia="宋体" w:cs="宋体"/>
                <w:bCs/>
                <w:color w:val="000000"/>
                <w:sz w:val="21"/>
                <w:szCs w:val="21"/>
                <w:lang w:eastAsia="zh-CN"/>
              </w:rPr>
            </w:pPr>
            <w:r>
              <w:rPr>
                <w:rFonts w:hint="eastAsia" w:ascii="宋体" w:hAnsi="宋体" w:cs="宋体"/>
                <w:bCs/>
                <w:sz w:val="21"/>
                <w:szCs w:val="21"/>
                <w:lang w:val="en-US" w:eastAsia="zh-CN"/>
              </w:rPr>
              <w:t>4</w:t>
            </w:r>
          </w:p>
        </w:tc>
      </w:tr>
    </w:tbl>
    <w:p w14:paraId="12DF4EF1">
      <w:pPr>
        <w:jc w:val="both"/>
        <w:rPr>
          <w:rFonts w:hint="eastAsia"/>
          <w:b/>
          <w:color w:val="000000"/>
          <w:sz w:val="36"/>
          <w:szCs w:val="36"/>
        </w:rPr>
      </w:pPr>
    </w:p>
    <w:p w14:paraId="0D35B3B4">
      <w:pPr>
        <w:pStyle w:val="19"/>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FBB9">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3B58">
    <w:pPr>
      <w:pStyle w:val="3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68E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15C01"/>
    <w:multiLevelType w:val="singleLevel"/>
    <w:tmpl w:val="84D15C01"/>
    <w:lvl w:ilvl="0" w:tentative="0">
      <w:start w:val="1"/>
      <w:numFmt w:val="bullet"/>
      <w:lvlText w:val=""/>
      <w:lvlJc w:val="left"/>
      <w:pPr>
        <w:tabs>
          <w:tab w:val="left" w:pos="840"/>
        </w:tabs>
        <w:ind w:left="1260" w:hanging="420"/>
      </w:pPr>
      <w:rPr>
        <w:rFonts w:hint="default" w:ascii="Wingdings" w:hAnsi="Wingdings"/>
      </w:rPr>
    </w:lvl>
  </w:abstractNum>
  <w:abstractNum w:abstractNumId="1">
    <w:nsid w:val="A3A59CC0"/>
    <w:multiLevelType w:val="singleLevel"/>
    <w:tmpl w:val="A3A59CC0"/>
    <w:lvl w:ilvl="0" w:tentative="0">
      <w:start w:val="1"/>
      <w:numFmt w:val="decimal"/>
      <w:suff w:val="nothing"/>
      <w:lvlText w:val="（%1）"/>
      <w:lvlJc w:val="left"/>
    </w:lvl>
  </w:abstractNum>
  <w:abstractNum w:abstractNumId="2">
    <w:nsid w:val="A980D832"/>
    <w:multiLevelType w:val="singleLevel"/>
    <w:tmpl w:val="A980D832"/>
    <w:lvl w:ilvl="0" w:tentative="0">
      <w:start w:val="1"/>
      <w:numFmt w:val="bullet"/>
      <w:lvlText w:val=""/>
      <w:lvlJc w:val="left"/>
      <w:pPr>
        <w:ind w:left="420" w:hanging="420"/>
      </w:pPr>
      <w:rPr>
        <w:rFonts w:hint="default" w:ascii="Wingdings" w:hAnsi="Wingdings"/>
      </w:rPr>
    </w:lvl>
  </w:abstractNum>
  <w:abstractNum w:abstractNumId="3">
    <w:nsid w:val="AA7D6E1A"/>
    <w:multiLevelType w:val="singleLevel"/>
    <w:tmpl w:val="AA7D6E1A"/>
    <w:lvl w:ilvl="0" w:tentative="0">
      <w:start w:val="1"/>
      <w:numFmt w:val="bullet"/>
      <w:lvlText w:val=""/>
      <w:lvlJc w:val="left"/>
      <w:pPr>
        <w:tabs>
          <w:tab w:val="left" w:pos="420"/>
        </w:tabs>
        <w:ind w:left="840" w:hanging="420"/>
      </w:pPr>
      <w:rPr>
        <w:rFonts w:hint="default" w:ascii="Wingdings" w:hAnsi="Wingdings"/>
      </w:rPr>
    </w:lvl>
  </w:abstractNum>
  <w:abstractNum w:abstractNumId="4">
    <w:nsid w:val="AC49A5EE"/>
    <w:multiLevelType w:val="singleLevel"/>
    <w:tmpl w:val="AC49A5EE"/>
    <w:lvl w:ilvl="0" w:tentative="0">
      <w:start w:val="1"/>
      <w:numFmt w:val="bullet"/>
      <w:lvlText w:val=""/>
      <w:lvlJc w:val="left"/>
      <w:pPr>
        <w:tabs>
          <w:tab w:val="left" w:pos="420"/>
        </w:tabs>
        <w:ind w:left="840" w:hanging="420"/>
      </w:pPr>
      <w:rPr>
        <w:rFonts w:hint="default" w:ascii="Wingdings" w:hAnsi="Wingdings"/>
      </w:rPr>
    </w:lvl>
  </w:abstractNum>
  <w:abstractNum w:abstractNumId="5">
    <w:nsid w:val="B8EF38E5"/>
    <w:multiLevelType w:val="singleLevel"/>
    <w:tmpl w:val="B8EF38E5"/>
    <w:lvl w:ilvl="0" w:tentative="0">
      <w:start w:val="1"/>
      <w:numFmt w:val="decimal"/>
      <w:lvlText w:val="%1."/>
      <w:lvlJc w:val="left"/>
      <w:pPr>
        <w:ind w:left="425" w:hanging="425"/>
      </w:pPr>
      <w:rPr>
        <w:rFonts w:hint="default"/>
      </w:rPr>
    </w:lvl>
  </w:abstractNum>
  <w:abstractNum w:abstractNumId="6">
    <w:nsid w:val="B9AE0497"/>
    <w:multiLevelType w:val="singleLevel"/>
    <w:tmpl w:val="B9AE0497"/>
    <w:lvl w:ilvl="0" w:tentative="0">
      <w:start w:val="1"/>
      <w:numFmt w:val="decimal"/>
      <w:lvlText w:val="%1."/>
      <w:lvlJc w:val="left"/>
      <w:pPr>
        <w:ind w:left="425" w:hanging="425"/>
      </w:pPr>
      <w:rPr>
        <w:rFonts w:hint="default"/>
      </w:rPr>
    </w:lvl>
  </w:abstractNum>
  <w:abstractNum w:abstractNumId="7">
    <w:nsid w:val="CC4AA475"/>
    <w:multiLevelType w:val="singleLevel"/>
    <w:tmpl w:val="CC4AA475"/>
    <w:lvl w:ilvl="0" w:tentative="0">
      <w:start w:val="1"/>
      <w:numFmt w:val="decimal"/>
      <w:lvlText w:val="%1."/>
      <w:lvlJc w:val="left"/>
      <w:pPr>
        <w:ind w:left="425" w:hanging="425"/>
      </w:pPr>
      <w:rPr>
        <w:rFonts w:hint="default"/>
      </w:rPr>
    </w:lvl>
  </w:abstractNum>
  <w:abstractNum w:abstractNumId="8">
    <w:nsid w:val="CCB0C476"/>
    <w:multiLevelType w:val="singleLevel"/>
    <w:tmpl w:val="CCB0C476"/>
    <w:lvl w:ilvl="0" w:tentative="0">
      <w:start w:val="1"/>
      <w:numFmt w:val="decimal"/>
      <w:lvlText w:val="%1."/>
      <w:lvlJc w:val="left"/>
      <w:pPr>
        <w:ind w:left="425" w:hanging="425"/>
      </w:pPr>
      <w:rPr>
        <w:rFonts w:hint="default"/>
      </w:rPr>
    </w:lvl>
  </w:abstractNum>
  <w:abstractNum w:abstractNumId="9">
    <w:nsid w:val="E700ED51"/>
    <w:multiLevelType w:val="singleLevel"/>
    <w:tmpl w:val="E700ED51"/>
    <w:lvl w:ilvl="0" w:tentative="0">
      <w:start w:val="1"/>
      <w:numFmt w:val="bullet"/>
      <w:lvlText w:val=""/>
      <w:lvlJc w:val="left"/>
      <w:pPr>
        <w:ind w:left="420" w:hanging="420"/>
      </w:pPr>
      <w:rPr>
        <w:rFonts w:hint="default" w:ascii="Wingdings" w:hAnsi="Wingdings"/>
      </w:rPr>
    </w:lvl>
  </w:abstractNum>
  <w:abstractNum w:abstractNumId="10">
    <w:nsid w:val="F4008D37"/>
    <w:multiLevelType w:val="singleLevel"/>
    <w:tmpl w:val="F4008D37"/>
    <w:lvl w:ilvl="0" w:tentative="0">
      <w:start w:val="1"/>
      <w:numFmt w:val="bullet"/>
      <w:lvlText w:val=""/>
      <w:lvlJc w:val="left"/>
      <w:pPr>
        <w:tabs>
          <w:tab w:val="left" w:pos="420"/>
        </w:tabs>
        <w:ind w:left="840" w:hanging="420"/>
      </w:pPr>
      <w:rPr>
        <w:rFonts w:hint="default" w:ascii="Wingdings" w:hAnsi="Wingdings"/>
      </w:rPr>
    </w:lvl>
  </w:abstractNum>
  <w:abstractNum w:abstractNumId="11">
    <w:nsid w:val="12E02A50"/>
    <w:multiLevelType w:val="singleLevel"/>
    <w:tmpl w:val="12E02A50"/>
    <w:lvl w:ilvl="0" w:tentative="0">
      <w:start w:val="1"/>
      <w:numFmt w:val="bullet"/>
      <w:lvlText w:val=""/>
      <w:lvlJc w:val="left"/>
      <w:pPr>
        <w:tabs>
          <w:tab w:val="left" w:pos="420"/>
        </w:tabs>
        <w:ind w:left="840" w:hanging="420"/>
      </w:pPr>
      <w:rPr>
        <w:rFonts w:hint="default" w:ascii="Wingdings" w:hAnsi="Wingdings"/>
      </w:rPr>
    </w:lvl>
  </w:abstractNum>
  <w:abstractNum w:abstractNumId="12">
    <w:nsid w:val="16F6E4EE"/>
    <w:multiLevelType w:val="singleLevel"/>
    <w:tmpl w:val="16F6E4EE"/>
    <w:lvl w:ilvl="0" w:tentative="0">
      <w:start w:val="1"/>
      <w:numFmt w:val="bullet"/>
      <w:lvlText w:val=""/>
      <w:lvlJc w:val="left"/>
      <w:pPr>
        <w:tabs>
          <w:tab w:val="left" w:pos="420"/>
        </w:tabs>
        <w:ind w:left="840" w:hanging="420"/>
      </w:pPr>
      <w:rPr>
        <w:rFonts w:hint="default" w:ascii="Wingdings" w:hAnsi="Wingdings"/>
      </w:rPr>
    </w:lvl>
  </w:abstractNum>
  <w:abstractNum w:abstractNumId="13">
    <w:nsid w:val="1ED8176D"/>
    <w:multiLevelType w:val="singleLevel"/>
    <w:tmpl w:val="1ED8176D"/>
    <w:lvl w:ilvl="0" w:tentative="0">
      <w:start w:val="1"/>
      <w:numFmt w:val="decimal"/>
      <w:lvlText w:val="%1."/>
      <w:lvlJc w:val="left"/>
      <w:pPr>
        <w:ind w:left="425" w:hanging="425"/>
      </w:pPr>
      <w:rPr>
        <w:rFonts w:hint="default"/>
      </w:rPr>
    </w:lvl>
  </w:abstractNum>
  <w:abstractNum w:abstractNumId="14">
    <w:nsid w:val="1F205A2A"/>
    <w:multiLevelType w:val="singleLevel"/>
    <w:tmpl w:val="1F205A2A"/>
    <w:lvl w:ilvl="0" w:tentative="0">
      <w:start w:val="1"/>
      <w:numFmt w:val="bullet"/>
      <w:lvlText w:val=""/>
      <w:lvlJc w:val="left"/>
      <w:pPr>
        <w:tabs>
          <w:tab w:val="left" w:pos="420"/>
        </w:tabs>
        <w:ind w:left="840" w:hanging="420"/>
      </w:pPr>
      <w:rPr>
        <w:rFonts w:hint="default" w:ascii="Wingdings" w:hAnsi="Wingdings"/>
      </w:rPr>
    </w:lvl>
  </w:abstractNum>
  <w:abstractNum w:abstractNumId="15">
    <w:nsid w:val="50251993"/>
    <w:multiLevelType w:val="singleLevel"/>
    <w:tmpl w:val="50251993"/>
    <w:lvl w:ilvl="0" w:tentative="0">
      <w:start w:val="1"/>
      <w:numFmt w:val="bullet"/>
      <w:lvlText w:val=""/>
      <w:lvlJc w:val="left"/>
      <w:pPr>
        <w:tabs>
          <w:tab w:val="left" w:pos="420"/>
        </w:tabs>
        <w:ind w:left="840" w:hanging="420"/>
      </w:pPr>
      <w:rPr>
        <w:rFonts w:hint="default" w:ascii="Wingdings" w:hAnsi="Wingdings"/>
      </w:rPr>
    </w:lvl>
  </w:abstractNum>
  <w:abstractNum w:abstractNumId="16">
    <w:nsid w:val="5DDD3640"/>
    <w:multiLevelType w:val="singleLevel"/>
    <w:tmpl w:val="5DDD3640"/>
    <w:lvl w:ilvl="0" w:tentative="0">
      <w:start w:val="1"/>
      <w:numFmt w:val="decimal"/>
      <w:lvlText w:val="%1."/>
      <w:lvlJc w:val="left"/>
      <w:pPr>
        <w:ind w:left="425" w:hanging="425"/>
      </w:pPr>
      <w:rPr>
        <w:rFonts w:hint="default"/>
      </w:rPr>
    </w:lvl>
  </w:abstractNum>
  <w:abstractNum w:abstractNumId="17">
    <w:nsid w:val="61C9F0E9"/>
    <w:multiLevelType w:val="singleLevel"/>
    <w:tmpl w:val="61C9F0E9"/>
    <w:lvl w:ilvl="0" w:tentative="0">
      <w:start w:val="1"/>
      <w:numFmt w:val="bullet"/>
      <w:lvlText w:val=""/>
      <w:lvlJc w:val="left"/>
      <w:pPr>
        <w:ind w:left="420" w:hanging="420"/>
      </w:pPr>
      <w:rPr>
        <w:rFonts w:hint="default" w:ascii="Wingdings" w:hAnsi="Wingdings"/>
      </w:rPr>
    </w:lvl>
  </w:abstractNum>
  <w:abstractNum w:abstractNumId="18">
    <w:nsid w:val="74DFE7C2"/>
    <w:multiLevelType w:val="singleLevel"/>
    <w:tmpl w:val="74DFE7C2"/>
    <w:lvl w:ilvl="0" w:tentative="0">
      <w:start w:val="1"/>
      <w:numFmt w:val="chineseCounting"/>
      <w:suff w:val="nothing"/>
      <w:lvlText w:val="%1、"/>
      <w:lvlJc w:val="left"/>
      <w:rPr>
        <w:rFonts w:hint="eastAsia"/>
      </w:rPr>
    </w:lvl>
  </w:abstractNum>
  <w:num w:numId="1">
    <w:abstractNumId w:val="18"/>
  </w:num>
  <w:num w:numId="2">
    <w:abstractNumId w:val="8"/>
  </w:num>
  <w:num w:numId="3">
    <w:abstractNumId w:val="4"/>
  </w:num>
  <w:num w:numId="4">
    <w:abstractNumId w:val="15"/>
  </w:num>
  <w:num w:numId="5">
    <w:abstractNumId w:val="10"/>
  </w:num>
  <w:num w:numId="6">
    <w:abstractNumId w:val="16"/>
  </w:num>
  <w:num w:numId="7">
    <w:abstractNumId w:val="14"/>
  </w:num>
  <w:num w:numId="8">
    <w:abstractNumId w:val="12"/>
  </w:num>
  <w:num w:numId="9">
    <w:abstractNumId w:val="11"/>
  </w:num>
  <w:num w:numId="10">
    <w:abstractNumId w:val="7"/>
  </w:num>
  <w:num w:numId="11">
    <w:abstractNumId w:val="3"/>
  </w:num>
  <w:num w:numId="12">
    <w:abstractNumId w:val="5"/>
  </w:num>
  <w:num w:numId="13">
    <w:abstractNumId w:val="17"/>
  </w:num>
  <w:num w:numId="14">
    <w:abstractNumId w:val="0"/>
  </w:num>
  <w:num w:numId="15">
    <w:abstractNumId w:val="2"/>
  </w:num>
  <w:num w:numId="16">
    <w:abstractNumId w:val="9"/>
  </w:num>
  <w:num w:numId="17">
    <w:abstractNumId w:val="6"/>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233C58"/>
    <w:rsid w:val="03314296"/>
    <w:rsid w:val="037D6DB5"/>
    <w:rsid w:val="044B2395"/>
    <w:rsid w:val="04A506EB"/>
    <w:rsid w:val="05B90EFD"/>
    <w:rsid w:val="063503C1"/>
    <w:rsid w:val="063B53E6"/>
    <w:rsid w:val="06D6508F"/>
    <w:rsid w:val="070C0D93"/>
    <w:rsid w:val="077317CC"/>
    <w:rsid w:val="07DC36F1"/>
    <w:rsid w:val="07EC2C38"/>
    <w:rsid w:val="08157A99"/>
    <w:rsid w:val="084D1FDC"/>
    <w:rsid w:val="0A5D4586"/>
    <w:rsid w:val="0CD93B2B"/>
    <w:rsid w:val="0D6E21D0"/>
    <w:rsid w:val="0DB16D02"/>
    <w:rsid w:val="0E176A1F"/>
    <w:rsid w:val="0E1F61EF"/>
    <w:rsid w:val="0E2347E1"/>
    <w:rsid w:val="0E5F63D3"/>
    <w:rsid w:val="0EC45742"/>
    <w:rsid w:val="0FAC23E1"/>
    <w:rsid w:val="10231302"/>
    <w:rsid w:val="11455560"/>
    <w:rsid w:val="11AB42E7"/>
    <w:rsid w:val="12345C67"/>
    <w:rsid w:val="123F6D4E"/>
    <w:rsid w:val="12975ECB"/>
    <w:rsid w:val="129D2202"/>
    <w:rsid w:val="12EF3E1D"/>
    <w:rsid w:val="12F17F7E"/>
    <w:rsid w:val="13477178"/>
    <w:rsid w:val="1364457C"/>
    <w:rsid w:val="144602B9"/>
    <w:rsid w:val="14823DE6"/>
    <w:rsid w:val="149F56B9"/>
    <w:rsid w:val="15237252"/>
    <w:rsid w:val="15A16E3B"/>
    <w:rsid w:val="15DC04D4"/>
    <w:rsid w:val="15DC2EED"/>
    <w:rsid w:val="16213CBD"/>
    <w:rsid w:val="16D417CF"/>
    <w:rsid w:val="16ED44DA"/>
    <w:rsid w:val="16F03CC3"/>
    <w:rsid w:val="17B10322"/>
    <w:rsid w:val="18C2418D"/>
    <w:rsid w:val="19E50873"/>
    <w:rsid w:val="1B355FFB"/>
    <w:rsid w:val="1BB06BD5"/>
    <w:rsid w:val="1CF5356A"/>
    <w:rsid w:val="1E2031CA"/>
    <w:rsid w:val="1E257D0B"/>
    <w:rsid w:val="1F6C2D13"/>
    <w:rsid w:val="1F9322BD"/>
    <w:rsid w:val="1FF41B65"/>
    <w:rsid w:val="208C3354"/>
    <w:rsid w:val="20BE7B94"/>
    <w:rsid w:val="215469F9"/>
    <w:rsid w:val="217A49BC"/>
    <w:rsid w:val="22090B55"/>
    <w:rsid w:val="22FF620F"/>
    <w:rsid w:val="23BA24E0"/>
    <w:rsid w:val="23D467EF"/>
    <w:rsid w:val="24142372"/>
    <w:rsid w:val="249A10BC"/>
    <w:rsid w:val="24B07EA2"/>
    <w:rsid w:val="24BD785B"/>
    <w:rsid w:val="25260323"/>
    <w:rsid w:val="252711D2"/>
    <w:rsid w:val="25BE2536"/>
    <w:rsid w:val="25D17432"/>
    <w:rsid w:val="266E2D99"/>
    <w:rsid w:val="26D225EC"/>
    <w:rsid w:val="27053F26"/>
    <w:rsid w:val="27201250"/>
    <w:rsid w:val="28217BD8"/>
    <w:rsid w:val="28545A5F"/>
    <w:rsid w:val="2864779B"/>
    <w:rsid w:val="28796F20"/>
    <w:rsid w:val="28871D47"/>
    <w:rsid w:val="289E4CB9"/>
    <w:rsid w:val="290631B0"/>
    <w:rsid w:val="291C34F7"/>
    <w:rsid w:val="29562CFF"/>
    <w:rsid w:val="29EA58B6"/>
    <w:rsid w:val="29FB202D"/>
    <w:rsid w:val="2A072518"/>
    <w:rsid w:val="2A7F6599"/>
    <w:rsid w:val="2A8B62A2"/>
    <w:rsid w:val="2AE006E1"/>
    <w:rsid w:val="2C8B4883"/>
    <w:rsid w:val="2D624150"/>
    <w:rsid w:val="2DD27134"/>
    <w:rsid w:val="2E1D177F"/>
    <w:rsid w:val="2EEC38E2"/>
    <w:rsid w:val="2F2D6EDA"/>
    <w:rsid w:val="2F63643F"/>
    <w:rsid w:val="2FE2086E"/>
    <w:rsid w:val="301A2620"/>
    <w:rsid w:val="301B57BD"/>
    <w:rsid w:val="30BB4BBA"/>
    <w:rsid w:val="30D76752"/>
    <w:rsid w:val="310965C9"/>
    <w:rsid w:val="310B3640"/>
    <w:rsid w:val="31146EF8"/>
    <w:rsid w:val="311C04D8"/>
    <w:rsid w:val="31A109B9"/>
    <w:rsid w:val="31F5432F"/>
    <w:rsid w:val="330B13E1"/>
    <w:rsid w:val="332604EA"/>
    <w:rsid w:val="338F779B"/>
    <w:rsid w:val="3423597C"/>
    <w:rsid w:val="34492841"/>
    <w:rsid w:val="34E61D7D"/>
    <w:rsid w:val="34F42085"/>
    <w:rsid w:val="357F93F7"/>
    <w:rsid w:val="36E32628"/>
    <w:rsid w:val="3837049E"/>
    <w:rsid w:val="3853050A"/>
    <w:rsid w:val="38600A43"/>
    <w:rsid w:val="388A59CE"/>
    <w:rsid w:val="391D222B"/>
    <w:rsid w:val="39393CE8"/>
    <w:rsid w:val="39672358"/>
    <w:rsid w:val="3A3B002A"/>
    <w:rsid w:val="3A6A3DF0"/>
    <w:rsid w:val="3A9B7C32"/>
    <w:rsid w:val="3B121DAC"/>
    <w:rsid w:val="3B2B4F3E"/>
    <w:rsid w:val="3B757758"/>
    <w:rsid w:val="3BE02541"/>
    <w:rsid w:val="3C1179C6"/>
    <w:rsid w:val="3C596B87"/>
    <w:rsid w:val="3C6F43A1"/>
    <w:rsid w:val="3D4D46E9"/>
    <w:rsid w:val="3D615042"/>
    <w:rsid w:val="3E5E273A"/>
    <w:rsid w:val="3F362FBA"/>
    <w:rsid w:val="3F3C2A0F"/>
    <w:rsid w:val="3FB731F7"/>
    <w:rsid w:val="409E41B0"/>
    <w:rsid w:val="418D1B4A"/>
    <w:rsid w:val="41D70DD0"/>
    <w:rsid w:val="41EC4195"/>
    <w:rsid w:val="433E1425"/>
    <w:rsid w:val="43B0542D"/>
    <w:rsid w:val="43E4772A"/>
    <w:rsid w:val="4536657D"/>
    <w:rsid w:val="45A22C16"/>
    <w:rsid w:val="45A93CC7"/>
    <w:rsid w:val="45B4445C"/>
    <w:rsid w:val="46160C28"/>
    <w:rsid w:val="46E104E1"/>
    <w:rsid w:val="47F3326A"/>
    <w:rsid w:val="480E3FB5"/>
    <w:rsid w:val="491A394D"/>
    <w:rsid w:val="493D7103"/>
    <w:rsid w:val="497916AE"/>
    <w:rsid w:val="49CB533A"/>
    <w:rsid w:val="49FE535C"/>
    <w:rsid w:val="4A194305"/>
    <w:rsid w:val="4A410552"/>
    <w:rsid w:val="4A48216A"/>
    <w:rsid w:val="4B614D44"/>
    <w:rsid w:val="4B8B3026"/>
    <w:rsid w:val="4C6A4079"/>
    <w:rsid w:val="4C701037"/>
    <w:rsid w:val="4C7A1793"/>
    <w:rsid w:val="4C996117"/>
    <w:rsid w:val="4CA41DE2"/>
    <w:rsid w:val="4CA76DBB"/>
    <w:rsid w:val="4CE775A8"/>
    <w:rsid w:val="4CED1ACC"/>
    <w:rsid w:val="4D597F2B"/>
    <w:rsid w:val="4DA9152C"/>
    <w:rsid w:val="4E201ADC"/>
    <w:rsid w:val="4E3A3764"/>
    <w:rsid w:val="4E94790E"/>
    <w:rsid w:val="4ED01077"/>
    <w:rsid w:val="4EDD5A43"/>
    <w:rsid w:val="4EFD69AA"/>
    <w:rsid w:val="4F7F18B2"/>
    <w:rsid w:val="4FCE11B7"/>
    <w:rsid w:val="50CC7B64"/>
    <w:rsid w:val="51DB43D4"/>
    <w:rsid w:val="522618C4"/>
    <w:rsid w:val="52C5386F"/>
    <w:rsid w:val="52CF30EE"/>
    <w:rsid w:val="52EF0AD9"/>
    <w:rsid w:val="53330E3B"/>
    <w:rsid w:val="5422024B"/>
    <w:rsid w:val="54512A59"/>
    <w:rsid w:val="54F355BD"/>
    <w:rsid w:val="552E4C55"/>
    <w:rsid w:val="55490CE0"/>
    <w:rsid w:val="55533C17"/>
    <w:rsid w:val="556F3D99"/>
    <w:rsid w:val="55972DEB"/>
    <w:rsid w:val="55EC30F5"/>
    <w:rsid w:val="563168D0"/>
    <w:rsid w:val="56765E85"/>
    <w:rsid w:val="573E6E15"/>
    <w:rsid w:val="57741536"/>
    <w:rsid w:val="57A17781"/>
    <w:rsid w:val="57AF6B30"/>
    <w:rsid w:val="5894552B"/>
    <w:rsid w:val="59F37165"/>
    <w:rsid w:val="5B286423"/>
    <w:rsid w:val="5B3711FF"/>
    <w:rsid w:val="5B7A576F"/>
    <w:rsid w:val="5BED7B49"/>
    <w:rsid w:val="5C3C4360"/>
    <w:rsid w:val="5C980832"/>
    <w:rsid w:val="5CDA6B17"/>
    <w:rsid w:val="5CEA5978"/>
    <w:rsid w:val="5CF17A35"/>
    <w:rsid w:val="5D5D04C8"/>
    <w:rsid w:val="5D652BF7"/>
    <w:rsid w:val="5DD054F6"/>
    <w:rsid w:val="5DD4126A"/>
    <w:rsid w:val="5DD853B3"/>
    <w:rsid w:val="5EBF3620"/>
    <w:rsid w:val="5EE65930"/>
    <w:rsid w:val="5F283F7C"/>
    <w:rsid w:val="5F750CC6"/>
    <w:rsid w:val="5F930552"/>
    <w:rsid w:val="5F957733"/>
    <w:rsid w:val="5FE80052"/>
    <w:rsid w:val="5FEB5CE0"/>
    <w:rsid w:val="5FF906CC"/>
    <w:rsid w:val="601B47AE"/>
    <w:rsid w:val="60996E0D"/>
    <w:rsid w:val="61365AD7"/>
    <w:rsid w:val="6204655B"/>
    <w:rsid w:val="62F4233B"/>
    <w:rsid w:val="63227EBB"/>
    <w:rsid w:val="63294FA2"/>
    <w:rsid w:val="63B55F2E"/>
    <w:rsid w:val="63FB0855"/>
    <w:rsid w:val="641B72CC"/>
    <w:rsid w:val="64A5687B"/>
    <w:rsid w:val="65B11309"/>
    <w:rsid w:val="66ED6D95"/>
    <w:rsid w:val="67D34CB0"/>
    <w:rsid w:val="67E06DEC"/>
    <w:rsid w:val="681238E7"/>
    <w:rsid w:val="685475D7"/>
    <w:rsid w:val="689B3896"/>
    <w:rsid w:val="69930B58"/>
    <w:rsid w:val="6A3D4C31"/>
    <w:rsid w:val="6A4B5DEA"/>
    <w:rsid w:val="6B31596C"/>
    <w:rsid w:val="6BE21893"/>
    <w:rsid w:val="6C544BEE"/>
    <w:rsid w:val="6C940A1D"/>
    <w:rsid w:val="6CDD25B2"/>
    <w:rsid w:val="6D2C3466"/>
    <w:rsid w:val="6D365B2A"/>
    <w:rsid w:val="6E4A630C"/>
    <w:rsid w:val="6F0243D3"/>
    <w:rsid w:val="6F84630D"/>
    <w:rsid w:val="6FC16C93"/>
    <w:rsid w:val="700E2528"/>
    <w:rsid w:val="70C16475"/>
    <w:rsid w:val="70D45102"/>
    <w:rsid w:val="710E6578"/>
    <w:rsid w:val="714A01CD"/>
    <w:rsid w:val="7188016B"/>
    <w:rsid w:val="719D44C6"/>
    <w:rsid w:val="71A65404"/>
    <w:rsid w:val="71BB5EDC"/>
    <w:rsid w:val="72652D48"/>
    <w:rsid w:val="727B56F4"/>
    <w:rsid w:val="72DD1E82"/>
    <w:rsid w:val="73A81D9B"/>
    <w:rsid w:val="73EB7052"/>
    <w:rsid w:val="743E0BB9"/>
    <w:rsid w:val="747F6CDD"/>
    <w:rsid w:val="74DC5E0E"/>
    <w:rsid w:val="758C5CB1"/>
    <w:rsid w:val="76465C58"/>
    <w:rsid w:val="76B87007"/>
    <w:rsid w:val="772B0175"/>
    <w:rsid w:val="774128D9"/>
    <w:rsid w:val="7763329E"/>
    <w:rsid w:val="779C71FB"/>
    <w:rsid w:val="77B87CDE"/>
    <w:rsid w:val="77E85551"/>
    <w:rsid w:val="77F434E0"/>
    <w:rsid w:val="78FF33A3"/>
    <w:rsid w:val="799A2845"/>
    <w:rsid w:val="7A0C012D"/>
    <w:rsid w:val="7A0D2A14"/>
    <w:rsid w:val="7A202285"/>
    <w:rsid w:val="7A22325C"/>
    <w:rsid w:val="7AD135EA"/>
    <w:rsid w:val="7AD74067"/>
    <w:rsid w:val="7B1639B3"/>
    <w:rsid w:val="7B342ED5"/>
    <w:rsid w:val="7B624760"/>
    <w:rsid w:val="7BB56727"/>
    <w:rsid w:val="7BC751DA"/>
    <w:rsid w:val="7C210604"/>
    <w:rsid w:val="7CE427BB"/>
    <w:rsid w:val="7D2BB55E"/>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3">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4">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5">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6">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7">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8">
    <w:name w:val="heading 7"/>
    <w:basedOn w:val="1"/>
    <w:next w:val="9"/>
    <w:link w:val="66"/>
    <w:qFormat/>
    <w:uiPriority w:val="0"/>
    <w:pPr>
      <w:keepNext/>
      <w:keepLines/>
      <w:spacing w:before="240" w:after="64" w:line="320" w:lineRule="auto"/>
      <w:outlineLvl w:val="6"/>
    </w:pPr>
    <w:rPr>
      <w:b/>
      <w:kern w:val="0"/>
      <w:sz w:val="24"/>
      <w:szCs w:val="20"/>
    </w:rPr>
  </w:style>
  <w:style w:type="paragraph" w:styleId="10">
    <w:name w:val="heading 8"/>
    <w:basedOn w:val="1"/>
    <w:next w:val="9"/>
    <w:link w:val="68"/>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9"/>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7"/>
    <w:qFormat/>
    <w:uiPriority w:val="0"/>
    <w:pPr>
      <w:ind w:firstLine="420" w:firstLineChars="200"/>
    </w:pPr>
    <w:rPr>
      <w:rFonts w:ascii="Calibri" w:hAnsi="Calibri"/>
      <w:kern w:val="0"/>
      <w:sz w:val="24"/>
      <w:szCs w:val="20"/>
    </w:rPr>
  </w:style>
  <w:style w:type="paragraph" w:styleId="12">
    <w:name w:val="toc 7"/>
    <w:basedOn w:val="1"/>
    <w:next w:val="1"/>
    <w:qFormat/>
    <w:uiPriority w:val="0"/>
    <w:pPr>
      <w:adjustRightInd w:val="0"/>
      <w:spacing w:line="312" w:lineRule="atLeast"/>
      <w:ind w:left="1260"/>
      <w:jc w:val="left"/>
      <w:textAlignment w:val="baseline"/>
    </w:pPr>
    <w:rPr>
      <w:kern w:val="0"/>
      <w:sz w:val="18"/>
      <w:szCs w:val="18"/>
    </w:rPr>
  </w:style>
  <w:style w:type="paragraph" w:styleId="13">
    <w:name w:val="List Number 2"/>
    <w:basedOn w:val="1"/>
    <w:qFormat/>
    <w:uiPriority w:val="0"/>
    <w:pPr>
      <w:widowControl/>
      <w:tabs>
        <w:tab w:val="left" w:pos="820"/>
      </w:tabs>
      <w:spacing w:afterLines="50"/>
      <w:ind w:left="820" w:hanging="420"/>
      <w:jc w:val="left"/>
    </w:pPr>
    <w:rPr>
      <w:kern w:val="0"/>
      <w:sz w:val="24"/>
      <w:szCs w:val="20"/>
    </w:rPr>
  </w:style>
  <w:style w:type="paragraph" w:styleId="14">
    <w:name w:val="List Number"/>
    <w:basedOn w:val="1"/>
    <w:qFormat/>
    <w:uiPriority w:val="0"/>
    <w:pPr>
      <w:adjustRightInd w:val="0"/>
      <w:spacing w:line="360" w:lineRule="auto"/>
      <w:ind w:left="850" w:hanging="425"/>
      <w:textAlignment w:val="baseline"/>
    </w:pPr>
    <w:rPr>
      <w:color w:val="000000"/>
      <w:kern w:val="0"/>
      <w:szCs w:val="20"/>
    </w:rPr>
  </w:style>
  <w:style w:type="paragraph" w:styleId="15">
    <w:name w:val="caption"/>
    <w:basedOn w:val="1"/>
    <w:next w:val="1"/>
    <w:qFormat/>
    <w:uiPriority w:val="0"/>
    <w:pPr>
      <w:spacing w:before="152" w:after="160"/>
    </w:pPr>
    <w:rPr>
      <w:rFonts w:ascii="Arial" w:hAnsi="Arial" w:eastAsia="黑体"/>
      <w:sz w:val="32"/>
      <w:szCs w:val="20"/>
    </w:rPr>
  </w:style>
  <w:style w:type="paragraph" w:styleId="16">
    <w:name w:val="Document Map"/>
    <w:basedOn w:val="1"/>
    <w:link w:val="70"/>
    <w:unhideWhenUsed/>
    <w:qFormat/>
    <w:uiPriority w:val="0"/>
    <w:rPr>
      <w:rFonts w:ascii="宋体"/>
      <w:kern w:val="0"/>
      <w:sz w:val="18"/>
      <w:szCs w:val="18"/>
    </w:rPr>
  </w:style>
  <w:style w:type="paragraph" w:styleId="17">
    <w:name w:val="annotation text"/>
    <w:basedOn w:val="1"/>
    <w:link w:val="71"/>
    <w:qFormat/>
    <w:uiPriority w:val="99"/>
    <w:pPr>
      <w:jc w:val="left"/>
    </w:pPr>
    <w:rPr>
      <w:kern w:val="0"/>
      <w:sz w:val="20"/>
    </w:rPr>
  </w:style>
  <w:style w:type="paragraph" w:styleId="18">
    <w:name w:val="Body Text 3"/>
    <w:basedOn w:val="1"/>
    <w:link w:val="72"/>
    <w:qFormat/>
    <w:uiPriority w:val="0"/>
    <w:pPr>
      <w:spacing w:after="120"/>
    </w:pPr>
    <w:rPr>
      <w:kern w:val="0"/>
      <w:sz w:val="16"/>
      <w:szCs w:val="16"/>
    </w:rPr>
  </w:style>
  <w:style w:type="paragraph" w:styleId="19">
    <w:name w:val="Body Text"/>
    <w:basedOn w:val="1"/>
    <w:link w:val="73"/>
    <w:qFormat/>
    <w:uiPriority w:val="0"/>
    <w:pPr>
      <w:spacing w:after="120"/>
    </w:pPr>
    <w:rPr>
      <w:kern w:val="0"/>
      <w:sz w:val="20"/>
    </w:rPr>
  </w:style>
  <w:style w:type="paragraph" w:styleId="20">
    <w:name w:val="Body Text Indent"/>
    <w:basedOn w:val="1"/>
    <w:link w:val="74"/>
    <w:qFormat/>
    <w:uiPriority w:val="0"/>
    <w:pPr>
      <w:ind w:firstLine="640" w:firstLineChars="200"/>
    </w:pPr>
    <w:rPr>
      <w:rFonts w:ascii="仿宋_GB2312" w:hAnsi="Arial" w:eastAsia="仿宋_GB2312"/>
      <w:kern w:val="0"/>
      <w:sz w:val="32"/>
      <w:szCs w:val="32"/>
    </w:rPr>
  </w:style>
  <w:style w:type="paragraph" w:styleId="21">
    <w:name w:val="List Number 3"/>
    <w:basedOn w:val="1"/>
    <w:qFormat/>
    <w:uiPriority w:val="0"/>
    <w:pPr>
      <w:widowControl/>
      <w:tabs>
        <w:tab w:val="left" w:pos="1050"/>
      </w:tabs>
      <w:spacing w:afterLines="50"/>
      <w:ind w:left="1050" w:hanging="340"/>
      <w:jc w:val="left"/>
    </w:pPr>
    <w:rPr>
      <w:kern w:val="0"/>
      <w:sz w:val="24"/>
      <w:szCs w:val="20"/>
    </w:rPr>
  </w:style>
  <w:style w:type="paragraph" w:styleId="22">
    <w:name w:val="List 2"/>
    <w:basedOn w:val="1"/>
    <w:qFormat/>
    <w:uiPriority w:val="0"/>
    <w:pPr>
      <w:tabs>
        <w:tab w:val="left" w:pos="1020"/>
      </w:tabs>
      <w:spacing w:line="360" w:lineRule="exact"/>
      <w:ind w:left="1020" w:hanging="420"/>
    </w:pPr>
    <w:rPr>
      <w:bCs/>
    </w:rPr>
  </w:style>
  <w:style w:type="paragraph" w:styleId="23">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4">
    <w:name w:val="index 4"/>
    <w:basedOn w:val="1"/>
    <w:next w:val="1"/>
    <w:qFormat/>
    <w:uiPriority w:val="0"/>
    <w:pPr>
      <w:ind w:left="600" w:leftChars="600"/>
    </w:pPr>
    <w:rPr>
      <w:rFonts w:ascii="Verdana" w:hAnsi="Verdana"/>
      <w:szCs w:val="20"/>
    </w:rPr>
  </w:style>
  <w:style w:type="paragraph" w:styleId="25">
    <w:name w:val="toc 5"/>
    <w:basedOn w:val="1"/>
    <w:next w:val="1"/>
    <w:qFormat/>
    <w:uiPriority w:val="0"/>
    <w:pPr>
      <w:adjustRightInd w:val="0"/>
      <w:spacing w:line="312" w:lineRule="atLeast"/>
      <w:ind w:left="840"/>
      <w:jc w:val="left"/>
      <w:textAlignment w:val="baseline"/>
    </w:pPr>
    <w:rPr>
      <w:kern w:val="0"/>
      <w:sz w:val="18"/>
      <w:szCs w:val="18"/>
    </w:rPr>
  </w:style>
  <w:style w:type="paragraph" w:styleId="26">
    <w:name w:val="toc 3"/>
    <w:basedOn w:val="1"/>
    <w:next w:val="1"/>
    <w:unhideWhenUsed/>
    <w:qFormat/>
    <w:uiPriority w:val="0"/>
    <w:pPr>
      <w:ind w:left="840" w:leftChars="400"/>
    </w:pPr>
    <w:rPr>
      <w:rFonts w:ascii="Calibri" w:hAnsi="Calibri"/>
      <w:szCs w:val="22"/>
    </w:rPr>
  </w:style>
  <w:style w:type="paragraph" w:styleId="27">
    <w:name w:val="Plain Text"/>
    <w:basedOn w:val="1"/>
    <w:link w:val="75"/>
    <w:qFormat/>
    <w:uiPriority w:val="0"/>
    <w:rPr>
      <w:rFonts w:ascii="宋体" w:hAnsi="Courier New"/>
      <w:kern w:val="0"/>
      <w:sz w:val="20"/>
      <w:szCs w:val="20"/>
    </w:rPr>
  </w:style>
  <w:style w:type="paragraph" w:styleId="28">
    <w:name w:val="toc 8"/>
    <w:basedOn w:val="1"/>
    <w:next w:val="1"/>
    <w:qFormat/>
    <w:uiPriority w:val="0"/>
    <w:pPr>
      <w:adjustRightInd w:val="0"/>
      <w:spacing w:line="312" w:lineRule="atLeast"/>
      <w:ind w:left="1470"/>
      <w:jc w:val="left"/>
      <w:textAlignment w:val="baseline"/>
    </w:pPr>
    <w:rPr>
      <w:kern w:val="0"/>
      <w:sz w:val="18"/>
      <w:szCs w:val="18"/>
    </w:rPr>
  </w:style>
  <w:style w:type="paragraph" w:styleId="29">
    <w:name w:val="Date"/>
    <w:basedOn w:val="1"/>
    <w:next w:val="1"/>
    <w:link w:val="76"/>
    <w:qFormat/>
    <w:uiPriority w:val="0"/>
    <w:pPr>
      <w:spacing w:before="50"/>
      <w:ind w:left="200" w:firstLine="200" w:firstLineChars="200"/>
    </w:pPr>
    <w:rPr>
      <w:kern w:val="0"/>
      <w:sz w:val="24"/>
      <w:szCs w:val="20"/>
    </w:rPr>
  </w:style>
  <w:style w:type="paragraph" w:styleId="30">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1">
    <w:name w:val="Balloon Text"/>
    <w:basedOn w:val="1"/>
    <w:link w:val="78"/>
    <w:qFormat/>
    <w:uiPriority w:val="0"/>
    <w:rPr>
      <w:kern w:val="0"/>
      <w:sz w:val="18"/>
      <w:szCs w:val="18"/>
    </w:rPr>
  </w:style>
  <w:style w:type="paragraph" w:styleId="32">
    <w:name w:val="footer"/>
    <w:basedOn w:val="1"/>
    <w:link w:val="79"/>
    <w:qFormat/>
    <w:uiPriority w:val="99"/>
    <w:pPr>
      <w:tabs>
        <w:tab w:val="center" w:pos="4153"/>
        <w:tab w:val="right" w:pos="8306"/>
      </w:tabs>
      <w:snapToGrid w:val="0"/>
      <w:jc w:val="left"/>
    </w:pPr>
    <w:rPr>
      <w:kern w:val="0"/>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Signature"/>
    <w:basedOn w:val="1"/>
    <w:link w:val="81"/>
    <w:qFormat/>
    <w:uiPriority w:val="0"/>
    <w:pPr>
      <w:widowControl/>
      <w:jc w:val="left"/>
    </w:pPr>
    <w:rPr>
      <w:rFonts w:ascii="Tahoma" w:hAnsi="Tahoma"/>
      <w:kern w:val="0"/>
      <w:sz w:val="24"/>
      <w:szCs w:val="20"/>
      <w:lang w:val="de-DE" w:eastAsia="de-DE"/>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0"/>
    <w:pPr>
      <w:adjustRightInd w:val="0"/>
      <w:spacing w:line="312" w:lineRule="atLeast"/>
      <w:ind w:left="630"/>
      <w:jc w:val="left"/>
      <w:textAlignment w:val="baseline"/>
    </w:pPr>
    <w:rPr>
      <w:kern w:val="0"/>
      <w:sz w:val="18"/>
      <w:szCs w:val="18"/>
    </w:rPr>
  </w:style>
  <w:style w:type="paragraph" w:styleId="37">
    <w:name w:val="index heading"/>
    <w:basedOn w:val="1"/>
    <w:next w:val="38"/>
    <w:qFormat/>
    <w:uiPriority w:val="0"/>
    <w:rPr>
      <w:szCs w:val="20"/>
    </w:rPr>
  </w:style>
  <w:style w:type="paragraph" w:styleId="38">
    <w:name w:val="index 1"/>
    <w:basedOn w:val="1"/>
    <w:next w:val="1"/>
    <w:unhideWhenUsed/>
    <w:qFormat/>
    <w:uiPriority w:val="0"/>
    <w:pPr>
      <w:adjustRightInd w:val="0"/>
      <w:spacing w:line="312" w:lineRule="atLeast"/>
      <w:textAlignment w:val="baseline"/>
    </w:pPr>
    <w:rPr>
      <w:kern w:val="0"/>
      <w:szCs w:val="20"/>
    </w:rPr>
  </w:style>
  <w:style w:type="paragraph" w:styleId="39">
    <w:name w:val="toc 6"/>
    <w:basedOn w:val="1"/>
    <w:next w:val="1"/>
    <w:qFormat/>
    <w:uiPriority w:val="0"/>
    <w:pPr>
      <w:adjustRightInd w:val="0"/>
      <w:spacing w:line="312" w:lineRule="atLeast"/>
      <w:ind w:left="1050"/>
      <w:jc w:val="left"/>
      <w:textAlignment w:val="baseline"/>
    </w:pPr>
    <w:rPr>
      <w:kern w:val="0"/>
      <w:sz w:val="18"/>
      <w:szCs w:val="18"/>
    </w:rPr>
  </w:style>
  <w:style w:type="paragraph" w:styleId="40">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1">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2">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3">
    <w:name w:val="toc 9"/>
    <w:basedOn w:val="1"/>
    <w:next w:val="1"/>
    <w:qFormat/>
    <w:uiPriority w:val="0"/>
    <w:pPr>
      <w:adjustRightInd w:val="0"/>
      <w:spacing w:line="312" w:lineRule="atLeast"/>
      <w:ind w:left="1680"/>
      <w:jc w:val="left"/>
      <w:textAlignment w:val="baseline"/>
    </w:pPr>
    <w:rPr>
      <w:kern w:val="0"/>
      <w:sz w:val="18"/>
      <w:szCs w:val="18"/>
    </w:rPr>
  </w:style>
  <w:style w:type="paragraph" w:styleId="44">
    <w:name w:val="Body Text 2"/>
    <w:basedOn w:val="1"/>
    <w:link w:val="83"/>
    <w:qFormat/>
    <w:uiPriority w:val="0"/>
    <w:pPr>
      <w:widowControl/>
      <w:jc w:val="center"/>
    </w:pPr>
    <w:rPr>
      <w:rFonts w:ascii="Arial" w:hAnsi="Arial"/>
      <w:kern w:val="0"/>
      <w:sz w:val="16"/>
      <w:szCs w:val="20"/>
    </w:rPr>
  </w:style>
  <w:style w:type="paragraph" w:styleId="45">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7">
    <w:name w:val="annotation subject"/>
    <w:basedOn w:val="17"/>
    <w:next w:val="17"/>
    <w:link w:val="85"/>
    <w:qFormat/>
    <w:uiPriority w:val="0"/>
    <w:rPr>
      <w:b/>
      <w:bCs/>
    </w:rPr>
  </w:style>
  <w:style w:type="paragraph" w:styleId="48">
    <w:name w:val="Body Text First Indent"/>
    <w:basedOn w:val="19"/>
    <w:link w:val="86"/>
    <w:qFormat/>
    <w:uiPriority w:val="0"/>
    <w:pPr>
      <w:ind w:firstLine="420"/>
    </w:pPr>
    <w:rPr>
      <w:szCs w:val="20"/>
    </w:rPr>
  </w:style>
  <w:style w:type="paragraph" w:styleId="49">
    <w:name w:val="Body Text First Indent 2"/>
    <w:basedOn w:val="20"/>
    <w:link w:val="87"/>
    <w:qFormat/>
    <w:uiPriority w:val="0"/>
    <w:pPr>
      <w:adjustRightInd w:val="0"/>
      <w:spacing w:after="120" w:line="360" w:lineRule="auto"/>
      <w:ind w:left="420" w:firstLine="420" w:firstLineChars="0"/>
      <w:textAlignment w:val="baseline"/>
    </w:pPr>
    <w:rPr>
      <w:color w:val="000000"/>
      <w:sz w:val="2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unhideWhenUsed/>
    <w:qFormat/>
    <w:uiPriority w:val="99"/>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paragraph" w:customStyle="1" w:styleId="5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标题 1 字符"/>
    <w:link w:val="2"/>
    <w:qFormat/>
    <w:uiPriority w:val="0"/>
    <w:rPr>
      <w:rFonts w:ascii="Times New Roman" w:hAnsi="Times New Roman" w:eastAsia="黑体"/>
      <w:b/>
      <w:sz w:val="44"/>
    </w:rPr>
  </w:style>
  <w:style w:type="character" w:customStyle="1" w:styleId="61">
    <w:name w:val="标题 2 字符"/>
    <w:link w:val="3"/>
    <w:qFormat/>
    <w:uiPriority w:val="0"/>
    <w:rPr>
      <w:rFonts w:ascii="Arial" w:hAnsi="Arial" w:eastAsia="黑体"/>
      <w:sz w:val="32"/>
    </w:rPr>
  </w:style>
  <w:style w:type="character" w:customStyle="1" w:styleId="62">
    <w:name w:val="标题 3 字符"/>
    <w:link w:val="4"/>
    <w:qFormat/>
    <w:uiPriority w:val="0"/>
    <w:rPr>
      <w:rFonts w:ascii="Arial" w:hAnsi="Arial" w:eastAsia="黑体"/>
      <w:sz w:val="30"/>
      <w:szCs w:val="30"/>
    </w:rPr>
  </w:style>
  <w:style w:type="character" w:customStyle="1" w:styleId="63">
    <w:name w:val="标题 4 字符"/>
    <w:link w:val="5"/>
    <w:qFormat/>
    <w:uiPriority w:val="0"/>
    <w:rPr>
      <w:rFonts w:ascii="Calibri" w:hAnsi="Calibri" w:eastAsia="楷体_GB2312" w:cs="Times New Roman"/>
      <w:b/>
      <w:bCs/>
      <w:sz w:val="28"/>
      <w:szCs w:val="28"/>
    </w:rPr>
  </w:style>
  <w:style w:type="character" w:customStyle="1" w:styleId="64">
    <w:name w:val="标题 5 字符"/>
    <w:link w:val="6"/>
    <w:qFormat/>
    <w:uiPriority w:val="0"/>
    <w:rPr>
      <w:rFonts w:ascii="Calibri" w:hAnsi="Calibri" w:eastAsia="宋体" w:cs="Times New Roman"/>
      <w:b/>
      <w:bCs/>
      <w:sz w:val="28"/>
      <w:szCs w:val="28"/>
    </w:rPr>
  </w:style>
  <w:style w:type="character" w:customStyle="1" w:styleId="65">
    <w:name w:val="标题 6 字符"/>
    <w:link w:val="7"/>
    <w:qFormat/>
    <w:uiPriority w:val="0"/>
    <w:rPr>
      <w:rFonts w:ascii="Arial" w:hAnsi="Arial" w:eastAsia="黑体" w:cs="Times New Roman"/>
      <w:b/>
      <w:bCs/>
      <w:sz w:val="24"/>
      <w:szCs w:val="24"/>
    </w:rPr>
  </w:style>
  <w:style w:type="character" w:customStyle="1" w:styleId="66">
    <w:name w:val="标题 7 字符"/>
    <w:link w:val="8"/>
    <w:qFormat/>
    <w:uiPriority w:val="0"/>
    <w:rPr>
      <w:rFonts w:ascii="Times New Roman" w:hAnsi="Times New Roman" w:eastAsia="宋体" w:cs="Times New Roman"/>
      <w:b/>
      <w:sz w:val="24"/>
      <w:szCs w:val="20"/>
    </w:rPr>
  </w:style>
  <w:style w:type="character" w:customStyle="1" w:styleId="67">
    <w:name w:val="正文缩进 字符"/>
    <w:link w:val="9"/>
    <w:qFormat/>
    <w:uiPriority w:val="0"/>
    <w:rPr>
      <w:sz w:val="24"/>
    </w:rPr>
  </w:style>
  <w:style w:type="character" w:customStyle="1" w:styleId="68">
    <w:name w:val="标题 8 字符"/>
    <w:link w:val="10"/>
    <w:qFormat/>
    <w:uiPriority w:val="0"/>
    <w:rPr>
      <w:rFonts w:ascii="Arial" w:hAnsi="Arial" w:eastAsia="黑体" w:cs="Times New Roman"/>
      <w:sz w:val="24"/>
      <w:szCs w:val="20"/>
    </w:rPr>
  </w:style>
  <w:style w:type="character" w:customStyle="1" w:styleId="69">
    <w:name w:val="标题 9 字符"/>
    <w:link w:val="11"/>
    <w:qFormat/>
    <w:uiPriority w:val="0"/>
    <w:rPr>
      <w:rFonts w:ascii="Arial" w:hAnsi="Arial" w:eastAsia="黑体" w:cs="Times New Roman"/>
      <w:szCs w:val="20"/>
    </w:rPr>
  </w:style>
  <w:style w:type="character" w:customStyle="1" w:styleId="70">
    <w:name w:val="文档结构图 字符"/>
    <w:link w:val="16"/>
    <w:qFormat/>
    <w:uiPriority w:val="0"/>
    <w:rPr>
      <w:rFonts w:ascii="宋体" w:hAnsi="Times New Roman" w:eastAsia="宋体" w:cs="Times New Roman"/>
      <w:sz w:val="18"/>
      <w:szCs w:val="18"/>
    </w:rPr>
  </w:style>
  <w:style w:type="character" w:customStyle="1" w:styleId="71">
    <w:name w:val="批注文字 字符"/>
    <w:link w:val="17"/>
    <w:qFormat/>
    <w:uiPriority w:val="99"/>
    <w:rPr>
      <w:rFonts w:ascii="Times New Roman" w:hAnsi="Times New Roman" w:eastAsia="宋体" w:cs="Times New Roman"/>
      <w:szCs w:val="24"/>
    </w:rPr>
  </w:style>
  <w:style w:type="character" w:customStyle="1" w:styleId="72">
    <w:name w:val="正文文本 3 字符"/>
    <w:link w:val="18"/>
    <w:qFormat/>
    <w:uiPriority w:val="0"/>
    <w:rPr>
      <w:rFonts w:ascii="Times New Roman" w:hAnsi="Times New Roman" w:eastAsia="宋体" w:cs="Times New Roman"/>
      <w:sz w:val="16"/>
      <w:szCs w:val="16"/>
    </w:rPr>
  </w:style>
  <w:style w:type="character" w:customStyle="1" w:styleId="73">
    <w:name w:val="正文文本 字符"/>
    <w:link w:val="19"/>
    <w:qFormat/>
    <w:uiPriority w:val="0"/>
    <w:rPr>
      <w:rFonts w:ascii="Times New Roman" w:hAnsi="Times New Roman" w:eastAsia="宋体" w:cs="Times New Roman"/>
      <w:szCs w:val="24"/>
    </w:rPr>
  </w:style>
  <w:style w:type="character" w:customStyle="1" w:styleId="74">
    <w:name w:val="正文文本缩进 字符"/>
    <w:link w:val="20"/>
    <w:qFormat/>
    <w:uiPriority w:val="0"/>
    <w:rPr>
      <w:rFonts w:ascii="仿宋_GB2312" w:hAnsi="Arial" w:eastAsia="仿宋_GB2312" w:cs="Times New Roman"/>
      <w:sz w:val="32"/>
      <w:szCs w:val="32"/>
    </w:rPr>
  </w:style>
  <w:style w:type="character" w:customStyle="1" w:styleId="75">
    <w:name w:val="纯文本 字符"/>
    <w:link w:val="27"/>
    <w:qFormat/>
    <w:uiPriority w:val="0"/>
    <w:rPr>
      <w:rFonts w:ascii="宋体" w:hAnsi="Courier New" w:eastAsia="宋体" w:cs="Times New Roman"/>
      <w:szCs w:val="20"/>
    </w:rPr>
  </w:style>
  <w:style w:type="character" w:customStyle="1" w:styleId="76">
    <w:name w:val="日期 字符"/>
    <w:link w:val="29"/>
    <w:qFormat/>
    <w:uiPriority w:val="0"/>
    <w:rPr>
      <w:rFonts w:ascii="Times New Roman" w:hAnsi="Times New Roman" w:eastAsia="宋体" w:cs="Times New Roman"/>
      <w:sz w:val="24"/>
      <w:szCs w:val="20"/>
    </w:rPr>
  </w:style>
  <w:style w:type="character" w:customStyle="1" w:styleId="77">
    <w:name w:val="正文文本缩进 2 字符"/>
    <w:link w:val="30"/>
    <w:qFormat/>
    <w:uiPriority w:val="0"/>
    <w:rPr>
      <w:rFonts w:ascii="楷体_GB2312" w:hAnsi="Times New Roman" w:eastAsia="楷体_GB2312" w:cs="Times New Roman"/>
      <w:sz w:val="24"/>
      <w:szCs w:val="20"/>
    </w:rPr>
  </w:style>
  <w:style w:type="character" w:customStyle="1" w:styleId="78">
    <w:name w:val="批注框文本 字符"/>
    <w:link w:val="31"/>
    <w:qFormat/>
    <w:uiPriority w:val="0"/>
    <w:rPr>
      <w:rFonts w:ascii="Times New Roman" w:hAnsi="Times New Roman" w:eastAsia="宋体" w:cs="Times New Roman"/>
      <w:sz w:val="18"/>
      <w:szCs w:val="18"/>
    </w:rPr>
  </w:style>
  <w:style w:type="character" w:customStyle="1" w:styleId="79">
    <w:name w:val="页脚 字符"/>
    <w:link w:val="32"/>
    <w:qFormat/>
    <w:uiPriority w:val="99"/>
    <w:rPr>
      <w:rFonts w:ascii="Times New Roman" w:hAnsi="Times New Roman" w:eastAsia="宋体" w:cs="Times New Roman"/>
      <w:sz w:val="18"/>
      <w:szCs w:val="18"/>
    </w:rPr>
  </w:style>
  <w:style w:type="character" w:customStyle="1" w:styleId="80">
    <w:name w:val="页眉 字符"/>
    <w:link w:val="33"/>
    <w:qFormat/>
    <w:uiPriority w:val="99"/>
    <w:rPr>
      <w:rFonts w:ascii="Times New Roman" w:hAnsi="Times New Roman" w:eastAsia="宋体" w:cs="Times New Roman"/>
      <w:sz w:val="18"/>
      <w:szCs w:val="18"/>
    </w:rPr>
  </w:style>
  <w:style w:type="character" w:customStyle="1" w:styleId="81">
    <w:name w:val="签名 字符"/>
    <w:link w:val="34"/>
    <w:qFormat/>
    <w:uiPriority w:val="0"/>
    <w:rPr>
      <w:rFonts w:ascii="Tahoma" w:hAnsi="Tahoma" w:cs="Tahoma"/>
      <w:sz w:val="24"/>
      <w:lang w:val="de-DE" w:eastAsia="de-DE"/>
    </w:rPr>
  </w:style>
  <w:style w:type="character" w:customStyle="1" w:styleId="82">
    <w:name w:val="正文文本缩进 3 字符"/>
    <w:link w:val="40"/>
    <w:qFormat/>
    <w:uiPriority w:val="0"/>
    <w:rPr>
      <w:rFonts w:ascii="楷体_GB2312" w:hAnsi="Times New Roman" w:eastAsia="楷体_GB2312" w:cs="Times New Roman"/>
      <w:b/>
      <w:bCs/>
      <w:sz w:val="24"/>
      <w:szCs w:val="20"/>
    </w:rPr>
  </w:style>
  <w:style w:type="character" w:customStyle="1" w:styleId="83">
    <w:name w:val="正文文本 2 字符"/>
    <w:link w:val="44"/>
    <w:qFormat/>
    <w:uiPriority w:val="0"/>
    <w:rPr>
      <w:rFonts w:ascii="Arial" w:hAnsi="Arial" w:eastAsia="宋体" w:cs="Times New Roman"/>
      <w:kern w:val="0"/>
      <w:sz w:val="16"/>
      <w:szCs w:val="20"/>
    </w:rPr>
  </w:style>
  <w:style w:type="character" w:customStyle="1" w:styleId="84">
    <w:name w:val="HTML 预设格式 字符"/>
    <w:link w:val="45"/>
    <w:qFormat/>
    <w:uiPriority w:val="0"/>
    <w:rPr>
      <w:rFonts w:ascii="黑体" w:hAnsi="Courier New" w:eastAsia="黑体" w:cs="Courier New"/>
    </w:rPr>
  </w:style>
  <w:style w:type="character" w:customStyle="1" w:styleId="85">
    <w:name w:val="批注主题 字符"/>
    <w:link w:val="47"/>
    <w:qFormat/>
    <w:uiPriority w:val="0"/>
    <w:rPr>
      <w:rFonts w:ascii="Times New Roman" w:hAnsi="Times New Roman" w:eastAsia="宋体" w:cs="Times New Roman"/>
      <w:b/>
      <w:bCs/>
      <w:szCs w:val="24"/>
    </w:rPr>
  </w:style>
  <w:style w:type="character" w:customStyle="1" w:styleId="86">
    <w:name w:val="正文首行缩进 字符"/>
    <w:link w:val="48"/>
    <w:qFormat/>
    <w:uiPriority w:val="0"/>
    <w:rPr>
      <w:rFonts w:ascii="Times New Roman" w:hAnsi="Times New Roman" w:eastAsia="宋体" w:cs="Times New Roman"/>
      <w:szCs w:val="20"/>
    </w:rPr>
  </w:style>
  <w:style w:type="character" w:customStyle="1" w:styleId="87">
    <w:name w:val="正文首行缩进 2 字符"/>
    <w:link w:val="49"/>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9"/>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2"/>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2"/>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6"/>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6"/>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5"/>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9"/>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9"/>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2"/>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 w:type="paragraph" w:customStyle="1" w:styleId="323">
    <w:name w:val="_Style 13"/>
    <w:qFormat/>
    <w:uiPriority w:val="0"/>
    <w:pPr>
      <w:spacing w:before="120" w:after="120" w:line="288" w:lineRule="auto"/>
      <w:ind w:left="0"/>
      <w:jc w:val="left"/>
    </w:pPr>
    <w:rPr>
      <w:rFonts w:ascii="Arial" w:hAnsi="Arial" w:eastAsia="等线" w:cs="Arial"/>
      <w:sz w:val="22"/>
      <w:szCs w:val="22"/>
    </w:rPr>
  </w:style>
  <w:style w:type="paragraph" w:customStyle="1" w:styleId="324">
    <w:name w:val="文本块1"/>
    <w:basedOn w:val="1"/>
    <w:qFormat/>
    <w:uiPriority w:val="99"/>
    <w:pPr>
      <w:spacing w:after="120"/>
      <w:ind w:left="1440" w:right="1440"/>
    </w:pPr>
  </w:style>
  <w:style w:type="paragraph" w:customStyle="1" w:styleId="325">
    <w:name w:val="标题 11"/>
    <w:basedOn w:val="1"/>
    <w:next w:val="1"/>
    <w:qFormat/>
    <w:uiPriority w:val="0"/>
    <w:pPr>
      <w:keepNext/>
      <w:jc w:val="center"/>
      <w:outlineLvl w:val="0"/>
    </w:pPr>
    <w:rPr>
      <w:rFonts w:ascii="楷体_GB2312" w:eastAsia="楷体_GB2312"/>
      <w:sz w:val="28"/>
      <w:szCs w:val="28"/>
    </w:rPr>
  </w:style>
  <w:style w:type="paragraph" w:customStyle="1" w:styleId="326">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5203</Words>
  <Characters>5655</Characters>
  <Lines>44</Lines>
  <Paragraphs>12</Paragraphs>
  <TotalTime>156</TotalTime>
  <ScaleCrop>false</ScaleCrop>
  <LinksUpToDate>false</LinksUpToDate>
  <CharactersWithSpaces>5968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不主动先生 </cp:lastModifiedBy>
  <cp:lastPrinted>2024-06-12T08:36:00Z</cp:lastPrinted>
  <dcterms:modified xsi:type="dcterms:W3CDTF">2025-11-19T02:52:51Z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9958F2279FB04F42B8E4FF78F192733D_13</vt:lpwstr>
  </property>
  <property fmtid="{D5CDD505-2E9C-101B-9397-08002B2CF9AE}" pid="4" name="KSOTemplateDocerSaveRecord">
    <vt:lpwstr>eyJoZGlkIjoiNjA2NzUwYWEzYmJhMjBmNjg4MDAzZDQ5MmIyYmNlN2EiLCJ1c2VySWQiOiI3MjIwMjkwNjYifQ==</vt:lpwstr>
  </property>
</Properties>
</file>